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B530E" w14:textId="77777777" w:rsidR="00177947" w:rsidRPr="00177947" w:rsidRDefault="00177947" w:rsidP="00177947">
      <w:pPr>
        <w:textAlignment w:val="baseline"/>
        <w:outlineLvl w:val="0"/>
        <w:rPr>
          <w:rFonts w:ascii="Helvetica Neue" w:eastAsia="Times New Roman" w:hAnsi="Helvetica Neue" w:cs="Times New Roman"/>
          <w:b/>
          <w:bCs/>
          <w:color w:val="464666"/>
          <w:kern w:val="36"/>
          <w:sz w:val="48"/>
          <w:szCs w:val="48"/>
        </w:rPr>
      </w:pPr>
      <w:r w:rsidRPr="00177947">
        <w:rPr>
          <w:rFonts w:ascii="Helvetica Neue" w:eastAsia="Times New Roman" w:hAnsi="Helvetica Neue" w:cs="Times New Roman"/>
          <w:b/>
          <w:bCs/>
          <w:color w:val="464666"/>
          <w:kern w:val="36"/>
          <w:sz w:val="48"/>
          <w:szCs w:val="48"/>
        </w:rPr>
        <w:t>Bachelor of Arts in Broadcast and Electronic Communication Arts – FTVE Associate Degree for Transfer Roadmap</w:t>
      </w:r>
    </w:p>
    <w:p w14:paraId="4A0DEE9E" w14:textId="183F9AF5" w:rsidR="00177947" w:rsidRPr="00177947" w:rsidRDefault="00177947" w:rsidP="00177947">
      <w:pPr>
        <w:textAlignment w:val="baseline"/>
        <w:rPr>
          <w:rFonts w:ascii="inherit" w:eastAsia="Times New Roman" w:hAnsi="inherit" w:cs="Times New Roman"/>
          <w:color w:val="565656"/>
          <w:sz w:val="21"/>
          <w:szCs w:val="21"/>
        </w:rPr>
      </w:pPr>
      <w:r w:rsidRPr="00177947">
        <w:rPr>
          <w:rFonts w:ascii="inherit" w:eastAsia="Times New Roman" w:hAnsi="inherit" w:cs="Times New Roman"/>
          <w:color w:val="565656"/>
          <w:sz w:val="21"/>
          <w:szCs w:val="21"/>
        </w:rPr>
        <w:t>This is a sample pathway for students who transfer to San Francisco State University in the current Bulletin year with an AS-T in Film, Television and Electronic Media. Six units in the major (</w:t>
      </w:r>
      <w:hyperlink r:id="rId5" w:tooltip="BECA 200" w:history="1">
        <w:r w:rsidRPr="00177947">
          <w:rPr>
            <w:rFonts w:ascii="inherit" w:eastAsia="Times New Roman" w:hAnsi="inherit" w:cs="Times New Roman"/>
            <w:color w:val="666600"/>
            <w:sz w:val="21"/>
            <w:szCs w:val="21"/>
            <w:u w:val="single"/>
            <w:bdr w:val="none" w:sz="0" w:space="0" w:color="auto" w:frame="1"/>
          </w:rPr>
          <w:t>BECA 200</w:t>
        </w:r>
      </w:hyperlink>
      <w:r w:rsidR="00FD2486">
        <w:rPr>
          <w:rFonts w:ascii="inherit" w:eastAsia="Times New Roman" w:hAnsi="inherit" w:cs="Times New Roman"/>
          <w:color w:val="565656"/>
          <w:sz w:val="21"/>
          <w:szCs w:val="21"/>
        </w:rPr>
        <w:t xml:space="preserve"> and</w:t>
      </w:r>
      <w:r w:rsidRPr="00177947">
        <w:rPr>
          <w:rFonts w:ascii="inherit" w:eastAsia="Times New Roman" w:hAnsi="inherit" w:cs="Times New Roman"/>
          <w:color w:val="565656"/>
          <w:sz w:val="21"/>
          <w:szCs w:val="21"/>
        </w:rPr>
        <w:t> </w:t>
      </w:r>
      <w:hyperlink r:id="rId6" w:tooltip="BECA 230" w:history="1">
        <w:r w:rsidRPr="00177947">
          <w:rPr>
            <w:rFonts w:ascii="inherit" w:eastAsia="Times New Roman" w:hAnsi="inherit" w:cs="Times New Roman"/>
            <w:color w:val="666600"/>
            <w:sz w:val="21"/>
            <w:szCs w:val="21"/>
            <w:u w:val="single"/>
            <w:bdr w:val="none" w:sz="0" w:space="0" w:color="auto" w:frame="1"/>
          </w:rPr>
          <w:t>BECA 23</w:t>
        </w:r>
        <w:r w:rsidR="00F77DCF">
          <w:rPr>
            <w:rFonts w:ascii="inherit" w:eastAsia="Times New Roman" w:hAnsi="inherit" w:cs="Times New Roman"/>
            <w:color w:val="666600"/>
            <w:sz w:val="21"/>
            <w:szCs w:val="21"/>
            <w:u w:val="single"/>
            <w:bdr w:val="none" w:sz="0" w:space="0" w:color="auto" w:frame="1"/>
          </w:rPr>
          <w:t>1</w:t>
        </w:r>
      </w:hyperlink>
      <w:r w:rsidR="00EC6134">
        <w:rPr>
          <w:rFonts w:ascii="inherit" w:eastAsia="Times New Roman" w:hAnsi="inherit" w:cs="Times New Roman"/>
          <w:color w:val="666600"/>
          <w:sz w:val="21"/>
          <w:szCs w:val="21"/>
          <w:u w:val="single"/>
          <w:bdr w:val="none" w:sz="0" w:space="0" w:color="auto" w:frame="1"/>
        </w:rPr>
        <w:t>, 24</w:t>
      </w:r>
      <w:r w:rsidR="00F77DCF">
        <w:rPr>
          <w:rFonts w:ascii="inherit" w:eastAsia="Times New Roman" w:hAnsi="inherit" w:cs="Times New Roman"/>
          <w:color w:val="666600"/>
          <w:sz w:val="21"/>
          <w:szCs w:val="21"/>
          <w:u w:val="single"/>
          <w:bdr w:val="none" w:sz="0" w:space="0" w:color="auto" w:frame="1"/>
        </w:rPr>
        <w:t>1</w:t>
      </w:r>
      <w:r w:rsidR="00EC6134">
        <w:rPr>
          <w:rFonts w:ascii="inherit" w:eastAsia="Times New Roman" w:hAnsi="inherit" w:cs="Times New Roman"/>
          <w:color w:val="666600"/>
          <w:sz w:val="21"/>
          <w:szCs w:val="21"/>
          <w:u w:val="single"/>
          <w:bdr w:val="none" w:sz="0" w:space="0" w:color="auto" w:frame="1"/>
        </w:rPr>
        <w:t>, or 246</w:t>
      </w:r>
      <w:r w:rsidRPr="00177947">
        <w:rPr>
          <w:rFonts w:ascii="inherit" w:eastAsia="Times New Roman" w:hAnsi="inherit" w:cs="Times New Roman"/>
          <w:color w:val="565656"/>
          <w:sz w:val="21"/>
          <w:szCs w:val="21"/>
        </w:rPr>
        <w:t>) and all lower division GE requirements have been satisfied. Additional units in the major may have been satisfied. Check with a major advisor about the most appropriate course sequence. </w:t>
      </w:r>
      <w:r w:rsidRPr="00177947">
        <w:rPr>
          <w:rFonts w:ascii="inherit" w:eastAsia="Times New Roman" w:hAnsi="inherit" w:cs="Times New Roman"/>
          <w:b/>
          <w:bCs/>
          <w:color w:val="565656"/>
          <w:sz w:val="21"/>
          <w:szCs w:val="21"/>
          <w:bdr w:val="none" w:sz="0" w:space="0" w:color="auto" w:frame="1"/>
        </w:rPr>
        <w:t>Degree completion guaranteed in 60 units; </w:t>
      </w:r>
      <w:hyperlink r:id="rId7" w:tgtFrame="_blank" w:history="1">
        <w:r w:rsidRPr="00177947">
          <w:rPr>
            <w:rFonts w:ascii="inherit" w:eastAsia="Times New Roman" w:hAnsi="inherit" w:cs="Times New Roman"/>
            <w:b/>
            <w:bCs/>
            <w:color w:val="666600"/>
            <w:sz w:val="21"/>
            <w:szCs w:val="21"/>
            <w:u w:val="single"/>
            <w:bdr w:val="none" w:sz="0" w:space="0" w:color="auto" w:frame="1"/>
          </w:rPr>
          <w:t>see the Associate Degree for Transfer (ADT) section for more information</w:t>
        </w:r>
      </w:hyperlink>
      <w:r w:rsidRPr="00177947">
        <w:rPr>
          <w:rFonts w:ascii="inherit" w:eastAsia="Times New Roman" w:hAnsi="inherit" w:cs="Times New Roman"/>
          <w:b/>
          <w:bCs/>
          <w:color w:val="565656"/>
          <w:sz w:val="21"/>
          <w:szCs w:val="21"/>
          <w:bdr w:val="none" w:sz="0" w:space="0" w:color="auto" w:frame="1"/>
        </w:rPr>
        <w:t>.</w:t>
      </w:r>
    </w:p>
    <w:tbl>
      <w:tblPr>
        <w:tblW w:w="9450" w:type="dxa"/>
        <w:tblCellMar>
          <w:left w:w="0" w:type="dxa"/>
          <w:right w:w="0" w:type="dxa"/>
        </w:tblCellMar>
        <w:tblLook w:val="04A0" w:firstRow="1" w:lastRow="0" w:firstColumn="1" w:lastColumn="0" w:noHBand="0" w:noVBand="1"/>
      </w:tblPr>
      <w:tblGrid>
        <w:gridCol w:w="1562"/>
        <w:gridCol w:w="6817"/>
        <w:gridCol w:w="1071"/>
      </w:tblGrid>
      <w:tr w:rsidR="00177947" w:rsidRPr="00177947" w14:paraId="54BED007" w14:textId="77777777" w:rsidTr="00C3222F">
        <w:tc>
          <w:tcPr>
            <w:tcW w:w="0" w:type="auto"/>
            <w:gridSpan w:val="2"/>
            <w:tcBorders>
              <w:top w:val="dotted" w:sz="6" w:space="0" w:color="DDDCCC"/>
              <w:left w:val="nil"/>
              <w:bottom w:val="single" w:sz="12" w:space="0" w:color="DDDDCC"/>
              <w:right w:val="nil"/>
            </w:tcBorders>
            <w:tcMar>
              <w:top w:w="75" w:type="dxa"/>
              <w:left w:w="75" w:type="dxa"/>
              <w:bottom w:w="75" w:type="dxa"/>
              <w:right w:w="75" w:type="dxa"/>
            </w:tcMar>
            <w:hideMark/>
          </w:tcPr>
          <w:p w14:paraId="1387F586" w14:textId="77777777" w:rsidR="00177947" w:rsidRPr="00177947" w:rsidRDefault="00177947" w:rsidP="00177947">
            <w:pPr>
              <w:rPr>
                <w:rFonts w:ascii="inherit" w:eastAsia="Times New Roman" w:hAnsi="inherit" w:cs="Times New Roman"/>
                <w:b/>
                <w:bCs/>
                <w:color w:val="505066"/>
                <w:sz w:val="22"/>
                <w:szCs w:val="22"/>
              </w:rPr>
            </w:pPr>
            <w:r w:rsidRPr="00177947">
              <w:rPr>
                <w:rFonts w:ascii="inherit" w:eastAsia="Times New Roman" w:hAnsi="inherit" w:cs="Times New Roman"/>
                <w:b/>
                <w:bCs/>
                <w:color w:val="505066"/>
                <w:sz w:val="22"/>
                <w:szCs w:val="22"/>
              </w:rPr>
              <w:t>First Semester</w:t>
            </w:r>
          </w:p>
        </w:tc>
        <w:tc>
          <w:tcPr>
            <w:tcW w:w="1071" w:type="dxa"/>
            <w:tcBorders>
              <w:top w:val="dotted" w:sz="6" w:space="0" w:color="DDDCCC"/>
              <w:left w:val="nil"/>
              <w:bottom w:val="single" w:sz="12" w:space="0" w:color="DDDDCC"/>
              <w:right w:val="nil"/>
            </w:tcBorders>
            <w:tcMar>
              <w:top w:w="75" w:type="dxa"/>
              <w:left w:w="75" w:type="dxa"/>
              <w:bottom w:w="75" w:type="dxa"/>
              <w:right w:w="75" w:type="dxa"/>
            </w:tcMar>
            <w:hideMark/>
          </w:tcPr>
          <w:p w14:paraId="61E2CC27" w14:textId="77777777" w:rsidR="00177947" w:rsidRPr="00177947" w:rsidRDefault="00177947" w:rsidP="00177947">
            <w:pPr>
              <w:jc w:val="right"/>
              <w:rPr>
                <w:rFonts w:ascii="inherit" w:eastAsia="Times New Roman" w:hAnsi="inherit" w:cs="Times New Roman"/>
                <w:b/>
                <w:bCs/>
                <w:color w:val="505066"/>
                <w:sz w:val="22"/>
                <w:szCs w:val="22"/>
              </w:rPr>
            </w:pPr>
            <w:r w:rsidRPr="00177947">
              <w:rPr>
                <w:rFonts w:ascii="inherit" w:eastAsia="Times New Roman" w:hAnsi="inherit" w:cs="Times New Roman"/>
                <w:b/>
                <w:bCs/>
                <w:color w:val="505066"/>
                <w:sz w:val="22"/>
                <w:szCs w:val="22"/>
              </w:rPr>
              <w:t>Units</w:t>
            </w:r>
          </w:p>
        </w:tc>
      </w:tr>
      <w:tr w:rsidR="00C3222F" w:rsidRPr="00177947" w14:paraId="1E72DB89" w14:textId="77777777" w:rsidTr="00C3222F">
        <w:tc>
          <w:tcPr>
            <w:tcW w:w="0" w:type="auto"/>
            <w:gridSpan w:val="2"/>
            <w:tcBorders>
              <w:top w:val="dotted" w:sz="6" w:space="0" w:color="DDDCCC"/>
              <w:left w:val="nil"/>
              <w:bottom w:val="single" w:sz="12" w:space="0" w:color="DDDDCC"/>
              <w:right w:val="nil"/>
            </w:tcBorders>
            <w:tcMar>
              <w:top w:w="75" w:type="dxa"/>
              <w:left w:w="75" w:type="dxa"/>
              <w:bottom w:w="75" w:type="dxa"/>
              <w:right w:w="75" w:type="dxa"/>
            </w:tcMar>
          </w:tcPr>
          <w:p w14:paraId="373A1C8B" w14:textId="77777777" w:rsidR="00C3222F" w:rsidRPr="00177947" w:rsidRDefault="00C3222F" w:rsidP="00177947">
            <w:pPr>
              <w:rPr>
                <w:rFonts w:ascii="inherit" w:eastAsia="Times New Roman" w:hAnsi="inherit" w:cs="Times New Roman"/>
                <w:b/>
                <w:bCs/>
                <w:color w:val="505066"/>
                <w:sz w:val="22"/>
                <w:szCs w:val="22"/>
              </w:rPr>
            </w:pPr>
          </w:p>
        </w:tc>
        <w:tc>
          <w:tcPr>
            <w:tcW w:w="1071" w:type="dxa"/>
            <w:tcBorders>
              <w:top w:val="dotted" w:sz="6" w:space="0" w:color="DDDCCC"/>
              <w:left w:val="nil"/>
              <w:bottom w:val="single" w:sz="12" w:space="0" w:color="DDDDCC"/>
              <w:right w:val="nil"/>
            </w:tcBorders>
            <w:tcMar>
              <w:top w:w="75" w:type="dxa"/>
              <w:left w:w="75" w:type="dxa"/>
              <w:bottom w:w="75" w:type="dxa"/>
              <w:right w:w="75" w:type="dxa"/>
            </w:tcMar>
          </w:tcPr>
          <w:p w14:paraId="4B65E0EE" w14:textId="77777777" w:rsidR="00C3222F" w:rsidRPr="00177947" w:rsidRDefault="00C3222F" w:rsidP="00177947">
            <w:pPr>
              <w:jc w:val="right"/>
              <w:rPr>
                <w:rFonts w:ascii="inherit" w:eastAsia="Times New Roman" w:hAnsi="inherit" w:cs="Times New Roman"/>
                <w:b/>
                <w:bCs/>
                <w:color w:val="505066"/>
                <w:sz w:val="22"/>
                <w:szCs w:val="22"/>
              </w:rPr>
            </w:pPr>
          </w:p>
        </w:tc>
      </w:tr>
      <w:tr w:rsidR="00177947" w:rsidRPr="00177947" w14:paraId="3934034B" w14:textId="77777777" w:rsidTr="00C3222F">
        <w:tc>
          <w:tcPr>
            <w:tcW w:w="1562" w:type="dxa"/>
            <w:tcBorders>
              <w:top w:val="dotted" w:sz="6" w:space="0" w:color="DDDDCC"/>
              <w:left w:val="nil"/>
              <w:bottom w:val="nil"/>
              <w:right w:val="nil"/>
            </w:tcBorders>
            <w:tcMar>
              <w:top w:w="75" w:type="dxa"/>
              <w:left w:w="75" w:type="dxa"/>
              <w:bottom w:w="75" w:type="dxa"/>
              <w:right w:w="75" w:type="dxa"/>
            </w:tcMar>
            <w:hideMark/>
          </w:tcPr>
          <w:p w14:paraId="373F90E8" w14:textId="77777777" w:rsidR="00177947" w:rsidRPr="00177947" w:rsidRDefault="00177947" w:rsidP="00177947">
            <w:pPr>
              <w:rPr>
                <w:rFonts w:ascii="inherit" w:eastAsia="Times New Roman" w:hAnsi="inherit" w:cs="Times New Roman"/>
              </w:rPr>
            </w:pPr>
            <w:hyperlink r:id="rId8" w:tooltip="BECA 300GW" w:history="1">
              <w:r w:rsidRPr="00177947">
                <w:rPr>
                  <w:rFonts w:ascii="inherit" w:eastAsia="Times New Roman" w:hAnsi="inherit" w:cs="Times New Roman"/>
                  <w:color w:val="666600"/>
                  <w:u w:val="single"/>
                  <w:bdr w:val="none" w:sz="0" w:space="0" w:color="auto" w:frame="1"/>
                </w:rPr>
                <w:t>BECA 300GW</w:t>
              </w:r>
            </w:hyperlink>
          </w:p>
        </w:tc>
        <w:tc>
          <w:tcPr>
            <w:tcW w:w="0" w:type="auto"/>
            <w:tcBorders>
              <w:top w:val="dotted" w:sz="6" w:space="0" w:color="DDDDCC"/>
              <w:left w:val="nil"/>
              <w:bottom w:val="nil"/>
              <w:right w:val="nil"/>
            </w:tcBorders>
            <w:tcMar>
              <w:top w:w="75" w:type="dxa"/>
              <w:left w:w="75" w:type="dxa"/>
              <w:bottom w:w="75" w:type="dxa"/>
              <w:right w:w="75" w:type="dxa"/>
            </w:tcMar>
            <w:hideMark/>
          </w:tcPr>
          <w:p w14:paraId="1CA6F17F" w14:textId="7AB4E01E" w:rsidR="00177947" w:rsidRPr="00177947" w:rsidRDefault="00F77DCF" w:rsidP="00177947">
            <w:pPr>
              <w:rPr>
                <w:rFonts w:ascii="inherit" w:eastAsia="Times New Roman" w:hAnsi="inherit" w:cs="Times New Roman"/>
              </w:rPr>
            </w:pPr>
            <w:r>
              <w:rPr>
                <w:rFonts w:ascii="inherit" w:eastAsia="Times New Roman" w:hAnsi="inherit" w:cs="Times New Roman"/>
              </w:rPr>
              <w:t>Writing About the Media</w:t>
            </w:r>
            <w:r w:rsidR="00177947" w:rsidRPr="00177947">
              <w:rPr>
                <w:rFonts w:ascii="inherit" w:eastAsia="Times New Roman" w:hAnsi="inherit" w:cs="Times New Roman"/>
              </w:rPr>
              <w:t xml:space="preserve"> - GWAR </w:t>
            </w:r>
            <w:r w:rsidR="00177947" w:rsidRPr="00177947">
              <w:rPr>
                <w:rFonts w:ascii="inherit" w:eastAsia="Times New Roman" w:hAnsi="inherit" w:cs="Times New Roman"/>
                <w:sz w:val="19"/>
                <w:szCs w:val="19"/>
                <w:bdr w:val="none" w:sz="0" w:space="0" w:color="auto" w:frame="1"/>
                <w:vertAlign w:val="superscript"/>
              </w:rPr>
              <w:t>1</w:t>
            </w:r>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4B8B471D" w14:textId="77777777" w:rsidR="00177947" w:rsidRPr="00177947" w:rsidRDefault="00177947" w:rsidP="00177947">
            <w:pPr>
              <w:jc w:val="right"/>
              <w:rPr>
                <w:rFonts w:ascii="inherit" w:eastAsia="Times New Roman" w:hAnsi="inherit" w:cs="Times New Roman"/>
              </w:rPr>
            </w:pPr>
            <w:r w:rsidRPr="00177947">
              <w:rPr>
                <w:rFonts w:ascii="inherit" w:eastAsia="Times New Roman" w:hAnsi="inherit" w:cs="Times New Roman"/>
              </w:rPr>
              <w:t>3</w:t>
            </w:r>
          </w:p>
        </w:tc>
      </w:tr>
      <w:tr w:rsidR="00177947" w:rsidRPr="00177947" w14:paraId="265A403A" w14:textId="77777777" w:rsidTr="00C3222F">
        <w:tc>
          <w:tcPr>
            <w:tcW w:w="1562" w:type="dxa"/>
            <w:tcBorders>
              <w:top w:val="dotted" w:sz="6" w:space="0" w:color="DDDDCC"/>
              <w:left w:val="nil"/>
              <w:bottom w:val="nil"/>
              <w:right w:val="nil"/>
            </w:tcBorders>
            <w:tcMar>
              <w:top w:w="75" w:type="dxa"/>
              <w:left w:w="75" w:type="dxa"/>
              <w:bottom w:w="75" w:type="dxa"/>
              <w:right w:w="75" w:type="dxa"/>
            </w:tcMar>
            <w:hideMark/>
          </w:tcPr>
          <w:p w14:paraId="1B6F3355" w14:textId="77777777" w:rsidR="00177947" w:rsidRPr="00177947" w:rsidRDefault="00177947" w:rsidP="00177947">
            <w:pPr>
              <w:rPr>
                <w:rFonts w:ascii="inherit" w:eastAsia="Times New Roman" w:hAnsi="inherit" w:cs="Times New Roman"/>
              </w:rPr>
            </w:pPr>
            <w:hyperlink r:id="rId9" w:tooltip="BECA 340" w:history="1">
              <w:r w:rsidRPr="00177947">
                <w:rPr>
                  <w:rFonts w:ascii="inherit" w:eastAsia="Times New Roman" w:hAnsi="inherit" w:cs="Times New Roman"/>
                  <w:color w:val="666600"/>
                  <w:u w:val="single"/>
                  <w:bdr w:val="none" w:sz="0" w:space="0" w:color="auto" w:frame="1"/>
                </w:rPr>
                <w:t>BECA 340</w:t>
              </w:r>
            </w:hyperlink>
          </w:p>
        </w:tc>
        <w:tc>
          <w:tcPr>
            <w:tcW w:w="0" w:type="auto"/>
            <w:tcBorders>
              <w:top w:val="dotted" w:sz="6" w:space="0" w:color="DDDDCC"/>
              <w:left w:val="nil"/>
              <w:bottom w:val="nil"/>
              <w:right w:val="nil"/>
            </w:tcBorders>
            <w:tcMar>
              <w:top w:w="75" w:type="dxa"/>
              <w:left w:w="75" w:type="dxa"/>
              <w:bottom w:w="75" w:type="dxa"/>
              <w:right w:w="75" w:type="dxa"/>
            </w:tcMar>
            <w:hideMark/>
          </w:tcPr>
          <w:p w14:paraId="14110A9D" w14:textId="77777777" w:rsidR="00177947" w:rsidRPr="00177947" w:rsidRDefault="00177947" w:rsidP="00177947">
            <w:pPr>
              <w:rPr>
                <w:rFonts w:ascii="inherit" w:eastAsia="Times New Roman" w:hAnsi="inherit" w:cs="Times New Roman"/>
              </w:rPr>
            </w:pPr>
            <w:r w:rsidRPr="00177947">
              <w:rPr>
                <w:rFonts w:ascii="inherit" w:eastAsia="Times New Roman" w:hAnsi="inherit" w:cs="Times New Roman"/>
              </w:rPr>
              <w:t>Media Aesthetics I </w:t>
            </w:r>
            <w:r w:rsidRPr="00177947">
              <w:rPr>
                <w:rFonts w:ascii="inherit" w:eastAsia="Times New Roman" w:hAnsi="inherit" w:cs="Times New Roman"/>
                <w:sz w:val="19"/>
                <w:szCs w:val="19"/>
                <w:bdr w:val="none" w:sz="0" w:space="0" w:color="auto" w:frame="1"/>
                <w:vertAlign w:val="superscript"/>
              </w:rPr>
              <w:t>1</w:t>
            </w:r>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6CD0EE7E" w14:textId="77777777" w:rsidR="00177947" w:rsidRPr="00177947" w:rsidRDefault="00177947" w:rsidP="00177947">
            <w:pPr>
              <w:jc w:val="right"/>
              <w:rPr>
                <w:rFonts w:ascii="inherit" w:eastAsia="Times New Roman" w:hAnsi="inherit" w:cs="Times New Roman"/>
              </w:rPr>
            </w:pPr>
            <w:r w:rsidRPr="00177947">
              <w:rPr>
                <w:rFonts w:ascii="inherit" w:eastAsia="Times New Roman" w:hAnsi="inherit" w:cs="Times New Roman"/>
              </w:rPr>
              <w:t>3</w:t>
            </w:r>
          </w:p>
        </w:tc>
      </w:tr>
      <w:tr w:rsidR="00177947" w:rsidRPr="00177947" w14:paraId="2CC7C724" w14:textId="77777777" w:rsidTr="00C3222F">
        <w:tc>
          <w:tcPr>
            <w:tcW w:w="8379" w:type="dxa"/>
            <w:gridSpan w:val="2"/>
            <w:tcBorders>
              <w:top w:val="dotted" w:sz="6" w:space="0" w:color="DDDDCC"/>
              <w:left w:val="nil"/>
              <w:bottom w:val="nil"/>
              <w:right w:val="nil"/>
            </w:tcBorders>
            <w:tcMar>
              <w:top w:w="75" w:type="dxa"/>
              <w:left w:w="75" w:type="dxa"/>
              <w:bottom w:w="75" w:type="dxa"/>
              <w:right w:w="75" w:type="dxa"/>
            </w:tcMar>
            <w:hideMark/>
          </w:tcPr>
          <w:p w14:paraId="6F5EACA3" w14:textId="77777777" w:rsidR="00177947" w:rsidRPr="00177947" w:rsidRDefault="00177947" w:rsidP="00177947">
            <w:pPr>
              <w:rPr>
                <w:rFonts w:ascii="inherit" w:eastAsia="Times New Roman" w:hAnsi="inherit" w:cs="Times New Roman"/>
              </w:rPr>
            </w:pPr>
            <w:hyperlink r:id="rId10" w:anchor="areaatext" w:history="1">
              <w:r w:rsidRPr="00177947">
                <w:rPr>
                  <w:rFonts w:ascii="inherit" w:eastAsia="Times New Roman" w:hAnsi="inherit" w:cs="Times New Roman"/>
                  <w:color w:val="666600"/>
                  <w:u w:val="single"/>
                  <w:bdr w:val="none" w:sz="0" w:space="0" w:color="auto" w:frame="1"/>
                </w:rPr>
                <w:t>GE Area A: Written English Communication II (A4)</w:t>
              </w:r>
            </w:hyperlink>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1E11D291" w14:textId="77777777" w:rsidR="00177947" w:rsidRPr="00177947" w:rsidRDefault="00177947" w:rsidP="00177947">
            <w:pPr>
              <w:jc w:val="right"/>
              <w:rPr>
                <w:rFonts w:ascii="inherit" w:eastAsia="Times New Roman" w:hAnsi="inherit" w:cs="Times New Roman"/>
              </w:rPr>
            </w:pPr>
            <w:r w:rsidRPr="00177947">
              <w:rPr>
                <w:rFonts w:ascii="inherit" w:eastAsia="Times New Roman" w:hAnsi="inherit" w:cs="Times New Roman"/>
              </w:rPr>
              <w:t>3</w:t>
            </w:r>
          </w:p>
        </w:tc>
      </w:tr>
      <w:tr w:rsidR="00177947" w:rsidRPr="00177947" w14:paraId="6DB5F4EA" w14:textId="77777777" w:rsidTr="00C3222F">
        <w:tc>
          <w:tcPr>
            <w:tcW w:w="8379" w:type="dxa"/>
            <w:gridSpan w:val="2"/>
            <w:tcBorders>
              <w:top w:val="dotted" w:sz="6" w:space="0" w:color="DDDDCC"/>
              <w:left w:val="nil"/>
              <w:bottom w:val="nil"/>
              <w:right w:val="nil"/>
            </w:tcBorders>
            <w:tcMar>
              <w:top w:w="75" w:type="dxa"/>
              <w:left w:w="75" w:type="dxa"/>
              <w:bottom w:w="75" w:type="dxa"/>
              <w:right w:w="75" w:type="dxa"/>
            </w:tcMar>
            <w:hideMark/>
          </w:tcPr>
          <w:p w14:paraId="072F67FA" w14:textId="77777777" w:rsidR="00177947" w:rsidRPr="00177947" w:rsidRDefault="00177947" w:rsidP="00177947">
            <w:pPr>
              <w:textAlignment w:val="baseline"/>
              <w:rPr>
                <w:rFonts w:ascii="inherit" w:eastAsia="Times New Roman" w:hAnsi="inherit" w:cs="Times New Roman"/>
              </w:rPr>
            </w:pPr>
            <w:r w:rsidRPr="00177947">
              <w:rPr>
                <w:rFonts w:ascii="inherit" w:eastAsia="Times New Roman" w:hAnsi="inherit" w:cs="Times New Roman"/>
              </w:rPr>
              <w:t>or University Elective if A4 met before transfer</w:t>
            </w:r>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40B4A8A1" w14:textId="77777777" w:rsidR="00177947" w:rsidRPr="00177947" w:rsidRDefault="00177947" w:rsidP="00177947">
            <w:pPr>
              <w:jc w:val="right"/>
              <w:rPr>
                <w:rFonts w:ascii="inherit" w:eastAsia="Times New Roman" w:hAnsi="inherit" w:cs="Times New Roman"/>
              </w:rPr>
            </w:pPr>
            <w:r w:rsidRPr="00177947">
              <w:rPr>
                <w:rFonts w:ascii="inherit" w:eastAsia="Times New Roman" w:hAnsi="inherit" w:cs="Times New Roman"/>
              </w:rPr>
              <w:t> </w:t>
            </w:r>
          </w:p>
        </w:tc>
      </w:tr>
      <w:tr w:rsidR="00177947" w:rsidRPr="00177947" w14:paraId="396FB2E4" w14:textId="77777777" w:rsidTr="00C3222F">
        <w:tc>
          <w:tcPr>
            <w:tcW w:w="8379" w:type="dxa"/>
            <w:gridSpan w:val="2"/>
            <w:tcBorders>
              <w:top w:val="dotted" w:sz="6" w:space="0" w:color="DDDDCC"/>
              <w:left w:val="nil"/>
              <w:bottom w:val="nil"/>
              <w:right w:val="nil"/>
            </w:tcBorders>
            <w:tcMar>
              <w:top w:w="75" w:type="dxa"/>
              <w:left w:w="75" w:type="dxa"/>
              <w:bottom w:w="75" w:type="dxa"/>
              <w:right w:w="75" w:type="dxa"/>
            </w:tcMar>
            <w:hideMark/>
          </w:tcPr>
          <w:p w14:paraId="78819955" w14:textId="77777777" w:rsidR="00177947" w:rsidRPr="00177947" w:rsidRDefault="00177947" w:rsidP="00177947">
            <w:pPr>
              <w:rPr>
                <w:rFonts w:ascii="inherit" w:eastAsia="Times New Roman" w:hAnsi="inherit" w:cs="Times New Roman"/>
              </w:rPr>
            </w:pPr>
            <w:hyperlink r:id="rId11" w:history="1">
              <w:r w:rsidRPr="00177947">
                <w:rPr>
                  <w:rFonts w:ascii="inherit" w:eastAsia="Times New Roman" w:hAnsi="inherit" w:cs="Times New Roman"/>
                  <w:color w:val="666600"/>
                  <w:u w:val="single"/>
                  <w:bdr w:val="none" w:sz="0" w:space="0" w:color="auto" w:frame="1"/>
                </w:rPr>
                <w:t>Upper Division GE: UD-B, UD-C, or UD-D</w:t>
              </w:r>
            </w:hyperlink>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1EE45A7A" w14:textId="77777777" w:rsidR="00177947" w:rsidRPr="00177947" w:rsidRDefault="00177947" w:rsidP="00177947">
            <w:pPr>
              <w:jc w:val="right"/>
              <w:rPr>
                <w:rFonts w:ascii="inherit" w:eastAsia="Times New Roman" w:hAnsi="inherit" w:cs="Times New Roman"/>
              </w:rPr>
            </w:pPr>
            <w:r w:rsidRPr="00177947">
              <w:rPr>
                <w:rFonts w:ascii="inherit" w:eastAsia="Times New Roman" w:hAnsi="inherit" w:cs="Times New Roman"/>
              </w:rPr>
              <w:t>3</w:t>
            </w:r>
          </w:p>
        </w:tc>
      </w:tr>
      <w:tr w:rsidR="00177947" w:rsidRPr="00177947" w14:paraId="648C4E5F" w14:textId="77777777" w:rsidTr="00C3222F">
        <w:tc>
          <w:tcPr>
            <w:tcW w:w="8379" w:type="dxa"/>
            <w:gridSpan w:val="2"/>
            <w:tcBorders>
              <w:top w:val="dotted" w:sz="6" w:space="0" w:color="DDDDCC"/>
              <w:left w:val="nil"/>
              <w:bottom w:val="nil"/>
              <w:right w:val="nil"/>
            </w:tcBorders>
            <w:tcMar>
              <w:top w:w="75" w:type="dxa"/>
              <w:left w:w="75" w:type="dxa"/>
              <w:bottom w:w="75" w:type="dxa"/>
              <w:right w:w="75" w:type="dxa"/>
            </w:tcMar>
            <w:hideMark/>
          </w:tcPr>
          <w:p w14:paraId="0D2EB3FE" w14:textId="77777777" w:rsidR="00177947" w:rsidRPr="00177947" w:rsidRDefault="00177947" w:rsidP="00177947">
            <w:pPr>
              <w:rPr>
                <w:rFonts w:ascii="inherit" w:eastAsia="Times New Roman" w:hAnsi="inherit" w:cs="Times New Roman"/>
              </w:rPr>
            </w:pPr>
            <w:hyperlink r:id="rId12" w:anchor="USHaGR" w:history="1">
              <w:r w:rsidRPr="00177947">
                <w:rPr>
                  <w:rFonts w:ascii="inherit" w:eastAsia="Times New Roman" w:hAnsi="inherit" w:cs="Times New Roman"/>
                  <w:color w:val="666600"/>
                  <w:u w:val="single"/>
                  <w:bdr w:val="none" w:sz="0" w:space="0" w:color="auto" w:frame="1"/>
                </w:rPr>
                <w:t>US History</w:t>
              </w:r>
              <w:r w:rsidRPr="00177947">
                <w:rPr>
                  <w:rFonts w:ascii="inherit" w:eastAsia="Times New Roman" w:hAnsi="inherit" w:cs="Times New Roman"/>
                  <w:color w:val="666600"/>
                  <w:bdr w:val="none" w:sz="0" w:space="0" w:color="auto" w:frame="1"/>
                </w:rPr>
                <w:t> </w:t>
              </w:r>
            </w:hyperlink>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53BBBE9C" w14:textId="77777777" w:rsidR="00177947" w:rsidRPr="00177947" w:rsidRDefault="00177947" w:rsidP="00177947">
            <w:pPr>
              <w:jc w:val="right"/>
              <w:rPr>
                <w:rFonts w:ascii="inherit" w:eastAsia="Times New Roman" w:hAnsi="inherit" w:cs="Times New Roman"/>
              </w:rPr>
            </w:pPr>
            <w:r w:rsidRPr="00177947">
              <w:rPr>
                <w:rFonts w:ascii="inherit" w:eastAsia="Times New Roman" w:hAnsi="inherit" w:cs="Times New Roman"/>
              </w:rPr>
              <w:t>3</w:t>
            </w:r>
          </w:p>
        </w:tc>
      </w:tr>
      <w:tr w:rsidR="00177947" w:rsidRPr="00177947" w14:paraId="116FCBD3" w14:textId="77777777" w:rsidTr="00C3222F">
        <w:tc>
          <w:tcPr>
            <w:tcW w:w="8379" w:type="dxa"/>
            <w:gridSpan w:val="2"/>
            <w:tcBorders>
              <w:top w:val="dotted" w:sz="6" w:space="0" w:color="DDDDCC"/>
              <w:left w:val="nil"/>
              <w:bottom w:val="nil"/>
              <w:right w:val="nil"/>
            </w:tcBorders>
            <w:tcMar>
              <w:top w:w="75" w:type="dxa"/>
              <w:left w:w="75" w:type="dxa"/>
              <w:bottom w:w="75" w:type="dxa"/>
              <w:right w:w="75" w:type="dxa"/>
            </w:tcMar>
            <w:hideMark/>
          </w:tcPr>
          <w:p w14:paraId="75A77B55" w14:textId="77777777" w:rsidR="00177947" w:rsidRPr="00177947" w:rsidRDefault="00177947" w:rsidP="00177947">
            <w:pPr>
              <w:textAlignment w:val="baseline"/>
              <w:rPr>
                <w:rFonts w:ascii="inherit" w:eastAsia="Times New Roman" w:hAnsi="inherit" w:cs="Times New Roman"/>
              </w:rPr>
            </w:pPr>
            <w:r w:rsidRPr="00177947">
              <w:rPr>
                <w:rFonts w:ascii="inherit" w:eastAsia="Times New Roman" w:hAnsi="inherit" w:cs="Times New Roman"/>
              </w:rPr>
              <w:t>or University Elective if US History met before transfer</w:t>
            </w:r>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35337081" w14:textId="77777777" w:rsidR="00177947" w:rsidRPr="00177947" w:rsidRDefault="00177947" w:rsidP="00177947">
            <w:pPr>
              <w:jc w:val="right"/>
              <w:rPr>
                <w:rFonts w:ascii="inherit" w:eastAsia="Times New Roman" w:hAnsi="inherit" w:cs="Times New Roman"/>
              </w:rPr>
            </w:pPr>
            <w:r w:rsidRPr="00177947">
              <w:rPr>
                <w:rFonts w:ascii="inherit" w:eastAsia="Times New Roman" w:hAnsi="inherit" w:cs="Times New Roman"/>
              </w:rPr>
              <w:t> </w:t>
            </w:r>
          </w:p>
        </w:tc>
      </w:tr>
      <w:tr w:rsidR="00177947" w:rsidRPr="00177947" w14:paraId="696F8AA9" w14:textId="77777777" w:rsidTr="00C3222F">
        <w:tc>
          <w:tcPr>
            <w:tcW w:w="0" w:type="auto"/>
            <w:tcBorders>
              <w:top w:val="dotted" w:sz="6" w:space="0" w:color="DDDDCC"/>
              <w:left w:val="nil"/>
              <w:bottom w:val="nil"/>
              <w:right w:val="nil"/>
            </w:tcBorders>
            <w:tcMar>
              <w:top w:w="75" w:type="dxa"/>
              <w:left w:w="75" w:type="dxa"/>
              <w:bottom w:w="75" w:type="dxa"/>
              <w:right w:w="75" w:type="dxa"/>
            </w:tcMar>
            <w:hideMark/>
          </w:tcPr>
          <w:p w14:paraId="08EB11A8" w14:textId="77777777" w:rsidR="00177947" w:rsidRPr="00177947" w:rsidRDefault="00177947" w:rsidP="00177947">
            <w:pPr>
              <w:rPr>
                <w:rFonts w:ascii="inherit" w:eastAsia="Times New Roman" w:hAnsi="inherit" w:cs="Times New Roman"/>
                <w:b/>
                <w:bCs/>
              </w:rPr>
            </w:pPr>
            <w:r w:rsidRPr="00177947">
              <w:rPr>
                <w:rFonts w:ascii="inherit" w:eastAsia="Times New Roman" w:hAnsi="inherit" w:cs="Times New Roman"/>
                <w:b/>
                <w:bCs/>
              </w:rPr>
              <w:t> </w:t>
            </w:r>
          </w:p>
        </w:tc>
        <w:tc>
          <w:tcPr>
            <w:tcW w:w="0" w:type="auto"/>
            <w:tcBorders>
              <w:top w:val="dotted" w:sz="6" w:space="0" w:color="DDDDCC"/>
              <w:left w:val="nil"/>
              <w:bottom w:val="nil"/>
              <w:right w:val="nil"/>
            </w:tcBorders>
            <w:tcMar>
              <w:top w:w="75" w:type="dxa"/>
              <w:left w:w="75" w:type="dxa"/>
              <w:bottom w:w="75" w:type="dxa"/>
              <w:right w:w="75" w:type="dxa"/>
            </w:tcMar>
            <w:hideMark/>
          </w:tcPr>
          <w:p w14:paraId="3D110FC1" w14:textId="77777777" w:rsidR="00177947" w:rsidRPr="00177947" w:rsidRDefault="00177947" w:rsidP="00177947">
            <w:pPr>
              <w:rPr>
                <w:rFonts w:ascii="inherit" w:eastAsia="Times New Roman" w:hAnsi="inherit" w:cs="Times New Roman"/>
                <w:b/>
                <w:bCs/>
              </w:rPr>
            </w:pPr>
            <w:r w:rsidRPr="00177947">
              <w:rPr>
                <w:rFonts w:ascii="inherit" w:eastAsia="Times New Roman" w:hAnsi="inherit" w:cs="Times New Roman"/>
                <w:b/>
                <w:bCs/>
              </w:rPr>
              <w:t>Units</w:t>
            </w:r>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52964205" w14:textId="77777777" w:rsidR="00177947" w:rsidRPr="00177947" w:rsidRDefault="00177947" w:rsidP="00177947">
            <w:pPr>
              <w:jc w:val="right"/>
              <w:rPr>
                <w:rFonts w:ascii="inherit" w:eastAsia="Times New Roman" w:hAnsi="inherit" w:cs="Times New Roman"/>
                <w:b/>
                <w:bCs/>
              </w:rPr>
            </w:pPr>
            <w:r w:rsidRPr="00177947">
              <w:rPr>
                <w:rFonts w:ascii="inherit" w:eastAsia="Times New Roman" w:hAnsi="inherit" w:cs="Times New Roman"/>
                <w:b/>
                <w:bCs/>
              </w:rPr>
              <w:t>15</w:t>
            </w:r>
          </w:p>
        </w:tc>
      </w:tr>
      <w:tr w:rsidR="00177947" w:rsidRPr="00177947" w14:paraId="3FC8E0E7" w14:textId="77777777" w:rsidTr="00177947">
        <w:tc>
          <w:tcPr>
            <w:tcW w:w="9450" w:type="dxa"/>
            <w:gridSpan w:val="3"/>
            <w:tcBorders>
              <w:top w:val="dotted" w:sz="6" w:space="0" w:color="DDDCCC"/>
              <w:left w:val="nil"/>
              <w:bottom w:val="single" w:sz="12" w:space="0" w:color="DDDDCC"/>
              <w:right w:val="nil"/>
            </w:tcBorders>
            <w:tcMar>
              <w:top w:w="75" w:type="dxa"/>
              <w:left w:w="75" w:type="dxa"/>
              <w:bottom w:w="75" w:type="dxa"/>
              <w:right w:w="75" w:type="dxa"/>
            </w:tcMar>
            <w:hideMark/>
          </w:tcPr>
          <w:p w14:paraId="77277538" w14:textId="416F9A50" w:rsidR="00C3222F" w:rsidRPr="00177947" w:rsidRDefault="00177947" w:rsidP="00177947">
            <w:pPr>
              <w:rPr>
                <w:rFonts w:ascii="inherit" w:eastAsia="Times New Roman" w:hAnsi="inherit" w:cs="Times New Roman"/>
                <w:b/>
                <w:bCs/>
                <w:color w:val="505066"/>
                <w:sz w:val="22"/>
                <w:szCs w:val="22"/>
              </w:rPr>
            </w:pPr>
            <w:r w:rsidRPr="00177947">
              <w:rPr>
                <w:rFonts w:ascii="inherit" w:eastAsia="Times New Roman" w:hAnsi="inherit" w:cs="Times New Roman"/>
                <w:b/>
                <w:bCs/>
                <w:color w:val="505066"/>
                <w:sz w:val="22"/>
                <w:szCs w:val="22"/>
              </w:rPr>
              <w:t>Second Semester</w:t>
            </w:r>
          </w:p>
        </w:tc>
      </w:tr>
      <w:tr w:rsidR="00951BFD" w:rsidRPr="00177947" w14:paraId="3A8948DA" w14:textId="77777777" w:rsidTr="00C3222F">
        <w:tc>
          <w:tcPr>
            <w:tcW w:w="8379" w:type="dxa"/>
            <w:gridSpan w:val="2"/>
            <w:tcBorders>
              <w:top w:val="dotted" w:sz="6" w:space="0" w:color="DDDDCC"/>
              <w:left w:val="nil"/>
              <w:bottom w:val="nil"/>
              <w:right w:val="nil"/>
            </w:tcBorders>
            <w:tcMar>
              <w:top w:w="75" w:type="dxa"/>
              <w:left w:w="75" w:type="dxa"/>
              <w:bottom w:w="75" w:type="dxa"/>
              <w:right w:w="75" w:type="dxa"/>
            </w:tcMar>
            <w:vAlign w:val="center"/>
          </w:tcPr>
          <w:p w14:paraId="36C5D755" w14:textId="77777777" w:rsidR="00951BFD" w:rsidRPr="003D3DB9" w:rsidRDefault="00951BFD" w:rsidP="00511871">
            <w:pPr>
              <w:textAlignment w:val="baseline"/>
            </w:pPr>
            <w:r>
              <w:t>Foundation Area – Media Writing – Select One:</w:t>
            </w:r>
          </w:p>
        </w:tc>
        <w:tc>
          <w:tcPr>
            <w:tcW w:w="1071" w:type="dxa"/>
            <w:tcBorders>
              <w:top w:val="dotted" w:sz="6" w:space="0" w:color="DDDDCC"/>
              <w:left w:val="nil"/>
              <w:bottom w:val="nil"/>
              <w:right w:val="nil"/>
            </w:tcBorders>
            <w:tcMar>
              <w:top w:w="75" w:type="dxa"/>
              <w:left w:w="75" w:type="dxa"/>
              <w:bottom w:w="75" w:type="dxa"/>
              <w:right w:w="75" w:type="dxa"/>
            </w:tcMar>
            <w:vAlign w:val="center"/>
          </w:tcPr>
          <w:p w14:paraId="5EE2B6BD" w14:textId="77777777" w:rsidR="00951BFD" w:rsidRPr="00177947" w:rsidRDefault="00951BFD" w:rsidP="00511871">
            <w:pPr>
              <w:jc w:val="right"/>
              <w:rPr>
                <w:rFonts w:ascii="inherit" w:eastAsia="Times New Roman" w:hAnsi="inherit" w:cs="Times New Roman"/>
              </w:rPr>
            </w:pPr>
            <w:r w:rsidRPr="00177947">
              <w:rPr>
                <w:rFonts w:ascii="inherit" w:eastAsia="Times New Roman" w:hAnsi="inherit" w:cs="Times New Roman"/>
              </w:rPr>
              <w:t>3</w:t>
            </w:r>
          </w:p>
        </w:tc>
      </w:tr>
      <w:tr w:rsidR="00951BFD" w:rsidRPr="00177947" w14:paraId="25911F15" w14:textId="77777777" w:rsidTr="00C3222F">
        <w:tc>
          <w:tcPr>
            <w:tcW w:w="1562" w:type="dxa"/>
            <w:tcBorders>
              <w:top w:val="dotted" w:sz="6" w:space="0" w:color="DDDDCC"/>
              <w:left w:val="nil"/>
              <w:bottom w:val="nil"/>
              <w:right w:val="nil"/>
            </w:tcBorders>
            <w:tcMar>
              <w:top w:w="75" w:type="dxa"/>
              <w:left w:w="75" w:type="dxa"/>
              <w:bottom w:w="75" w:type="dxa"/>
              <w:right w:w="75" w:type="dxa"/>
            </w:tcMar>
            <w:vAlign w:val="center"/>
            <w:hideMark/>
          </w:tcPr>
          <w:p w14:paraId="50EC5AB2" w14:textId="77777777" w:rsidR="00951BFD" w:rsidRDefault="00951BFD" w:rsidP="00511871">
            <w:pPr>
              <w:rPr>
                <w:rStyle w:val="Hyperlink"/>
                <w:rFonts w:ascii="Calibri" w:eastAsia="Calibri" w:hAnsi="Calibri" w:cs="Calibri"/>
              </w:rPr>
            </w:pPr>
            <w:hyperlink r:id="rId13" w:history="1">
              <w:r w:rsidRPr="00951BFD">
                <w:rPr>
                  <w:rStyle w:val="Hyperlink"/>
                  <w:rFonts w:ascii="Calibri" w:eastAsia="Calibri" w:hAnsi="Calibri" w:cs="Calibri"/>
                </w:rPr>
                <w:t>B</w:t>
              </w:r>
              <w:r w:rsidRPr="00951BFD">
                <w:rPr>
                  <w:rStyle w:val="Hyperlink"/>
                  <w:rFonts w:ascii="Calibri" w:eastAsia="Calibri" w:hAnsi="Calibri" w:cs="Calibri"/>
                  <w:spacing w:val="1"/>
                </w:rPr>
                <w:t>E</w:t>
              </w:r>
              <w:r w:rsidRPr="00951BFD">
                <w:rPr>
                  <w:rStyle w:val="Hyperlink"/>
                  <w:rFonts w:ascii="Calibri" w:eastAsia="Calibri" w:hAnsi="Calibri" w:cs="Calibri"/>
                  <w:spacing w:val="-1"/>
                </w:rPr>
                <w:t>C</w:t>
              </w:r>
              <w:r w:rsidRPr="00951BFD">
                <w:rPr>
                  <w:rStyle w:val="Hyperlink"/>
                  <w:rFonts w:ascii="Calibri" w:eastAsia="Calibri" w:hAnsi="Calibri" w:cs="Calibri"/>
                </w:rPr>
                <w:t>A</w:t>
              </w:r>
              <w:r w:rsidRPr="00951BFD">
                <w:rPr>
                  <w:rStyle w:val="Hyperlink"/>
                  <w:rFonts w:ascii="Calibri" w:eastAsia="Calibri" w:hAnsi="Calibri" w:cs="Calibri"/>
                  <w:spacing w:val="-4"/>
                </w:rPr>
                <w:t xml:space="preserve"> </w:t>
              </w:r>
              <w:r w:rsidRPr="00951BFD">
                <w:rPr>
                  <w:rStyle w:val="Hyperlink"/>
                  <w:rFonts w:ascii="Calibri" w:eastAsia="Calibri" w:hAnsi="Calibri" w:cs="Calibri"/>
                </w:rPr>
                <w:t>370</w:t>
              </w:r>
            </w:hyperlink>
          </w:p>
          <w:p w14:paraId="1548C4D4" w14:textId="77777777" w:rsidR="005C784E" w:rsidRDefault="005C784E" w:rsidP="00511871">
            <w:pPr>
              <w:rPr>
                <w:rStyle w:val="Hyperlink"/>
                <w:rFonts w:ascii="Calibri" w:eastAsia="Calibri" w:hAnsi="Calibri" w:cs="Calibri"/>
              </w:rPr>
            </w:pPr>
            <w:hyperlink r:id="rId14" w:history="1">
              <w:r w:rsidRPr="00951BFD">
                <w:rPr>
                  <w:rStyle w:val="Hyperlink"/>
                  <w:rFonts w:ascii="Calibri" w:eastAsia="Calibri" w:hAnsi="Calibri" w:cs="Calibri"/>
                </w:rPr>
                <w:t xml:space="preserve">BECA </w:t>
              </w:r>
              <w:r>
                <w:rPr>
                  <w:rStyle w:val="Hyperlink"/>
                  <w:rFonts w:ascii="Calibri" w:eastAsia="Calibri" w:hAnsi="Calibri" w:cs="Calibri"/>
                </w:rPr>
                <w:t>371</w:t>
              </w:r>
            </w:hyperlink>
          </w:p>
          <w:p w14:paraId="553EA40E" w14:textId="77777777" w:rsidR="005C784E" w:rsidRDefault="005C784E" w:rsidP="00511871">
            <w:hyperlink r:id="rId15" w:history="1">
              <w:r w:rsidRPr="005C784E">
                <w:rPr>
                  <w:rStyle w:val="Hyperlink"/>
                </w:rPr>
                <w:t>BECA 372</w:t>
              </w:r>
            </w:hyperlink>
          </w:p>
          <w:p w14:paraId="24B97559" w14:textId="77777777" w:rsidR="005C784E" w:rsidRDefault="005C784E" w:rsidP="00511871">
            <w:hyperlink r:id="rId16" w:history="1">
              <w:r w:rsidRPr="005C784E">
                <w:rPr>
                  <w:rStyle w:val="Hyperlink"/>
                </w:rPr>
                <w:t>BECA 374</w:t>
              </w:r>
            </w:hyperlink>
          </w:p>
          <w:p w14:paraId="3FBCA504" w14:textId="3057973B" w:rsidR="005C784E" w:rsidRPr="00951BFD" w:rsidRDefault="005C784E" w:rsidP="00511871">
            <w:pPr>
              <w:rPr>
                <w:rFonts w:ascii="inherit" w:eastAsia="Times New Roman" w:hAnsi="inherit" w:cs="Times New Roman"/>
              </w:rPr>
            </w:pPr>
            <w:hyperlink r:id="rId17" w:history="1">
              <w:r w:rsidRPr="005C784E">
                <w:rPr>
                  <w:rStyle w:val="Hyperlink"/>
                </w:rPr>
                <w:t>BECA 375</w:t>
              </w:r>
            </w:hyperlink>
          </w:p>
        </w:tc>
        <w:tc>
          <w:tcPr>
            <w:tcW w:w="0" w:type="auto"/>
            <w:tcBorders>
              <w:top w:val="dotted" w:sz="6" w:space="0" w:color="DDDDCC"/>
              <w:left w:val="nil"/>
              <w:bottom w:val="nil"/>
              <w:right w:val="nil"/>
            </w:tcBorders>
            <w:tcMar>
              <w:top w:w="75" w:type="dxa"/>
              <w:left w:w="75" w:type="dxa"/>
              <w:bottom w:w="75" w:type="dxa"/>
              <w:right w:w="75" w:type="dxa"/>
            </w:tcMar>
            <w:vAlign w:val="center"/>
            <w:hideMark/>
          </w:tcPr>
          <w:p w14:paraId="1617BBDC" w14:textId="77777777" w:rsidR="005C784E" w:rsidRDefault="00951BFD" w:rsidP="00511871">
            <w:pPr>
              <w:textAlignment w:val="baseline"/>
              <w:rPr>
                <w:rFonts w:ascii="Calibri" w:eastAsia="Calibri" w:hAnsi="Calibri" w:cs="Calibri"/>
                <w:position w:val="1"/>
              </w:rPr>
            </w:pPr>
            <w:r w:rsidRPr="00951BFD">
              <w:rPr>
                <w:rFonts w:ascii="Calibri" w:eastAsia="Calibri" w:hAnsi="Calibri" w:cs="Calibri"/>
              </w:rPr>
              <w:t>Writi</w:t>
            </w:r>
            <w:r w:rsidRPr="00951BFD">
              <w:rPr>
                <w:rFonts w:ascii="Calibri" w:eastAsia="Calibri" w:hAnsi="Calibri" w:cs="Calibri"/>
                <w:spacing w:val="1"/>
              </w:rPr>
              <w:t>n</w:t>
            </w:r>
            <w:r w:rsidRPr="00951BFD">
              <w:rPr>
                <w:rFonts w:ascii="Calibri" w:eastAsia="Calibri" w:hAnsi="Calibri" w:cs="Calibri"/>
              </w:rPr>
              <w:t>g</w:t>
            </w:r>
            <w:r w:rsidRPr="00951BFD">
              <w:rPr>
                <w:rFonts w:ascii="Calibri" w:eastAsia="Calibri" w:hAnsi="Calibri" w:cs="Calibri"/>
                <w:spacing w:val="-6"/>
              </w:rPr>
              <w:t xml:space="preserve"> </w:t>
            </w:r>
            <w:r w:rsidRPr="00951BFD">
              <w:rPr>
                <w:rFonts w:ascii="Calibri" w:eastAsia="Calibri" w:hAnsi="Calibri" w:cs="Calibri"/>
                <w:spacing w:val="-1"/>
              </w:rPr>
              <w:t>f</w:t>
            </w:r>
            <w:r w:rsidRPr="00951BFD">
              <w:rPr>
                <w:rFonts w:ascii="Calibri" w:eastAsia="Calibri" w:hAnsi="Calibri" w:cs="Calibri"/>
                <w:spacing w:val="1"/>
              </w:rPr>
              <w:t>o</w:t>
            </w:r>
            <w:r w:rsidRPr="00951BFD">
              <w:rPr>
                <w:rFonts w:ascii="Calibri" w:eastAsia="Calibri" w:hAnsi="Calibri" w:cs="Calibri"/>
              </w:rPr>
              <w:t>r</w:t>
            </w:r>
            <w:r w:rsidRPr="00951BFD">
              <w:rPr>
                <w:rFonts w:ascii="Calibri" w:eastAsia="Calibri" w:hAnsi="Calibri" w:cs="Calibri"/>
                <w:spacing w:val="-2"/>
              </w:rPr>
              <w:t xml:space="preserve"> </w:t>
            </w:r>
            <w:r w:rsidRPr="00951BFD">
              <w:rPr>
                <w:rFonts w:ascii="Calibri" w:eastAsia="Calibri" w:hAnsi="Calibri" w:cs="Calibri"/>
                <w:position w:val="1"/>
              </w:rPr>
              <w:t>M</w:t>
            </w:r>
            <w:r w:rsidRPr="00951BFD">
              <w:rPr>
                <w:rFonts w:ascii="Calibri" w:eastAsia="Calibri" w:hAnsi="Calibri" w:cs="Calibri"/>
                <w:spacing w:val="-1"/>
                <w:position w:val="1"/>
              </w:rPr>
              <w:t>e</w:t>
            </w:r>
            <w:r w:rsidRPr="00951BFD">
              <w:rPr>
                <w:rFonts w:ascii="Calibri" w:eastAsia="Calibri" w:hAnsi="Calibri" w:cs="Calibri"/>
                <w:spacing w:val="1"/>
                <w:position w:val="1"/>
              </w:rPr>
              <w:t>d</w:t>
            </w:r>
            <w:r w:rsidRPr="00951BFD">
              <w:rPr>
                <w:rFonts w:ascii="Calibri" w:eastAsia="Calibri" w:hAnsi="Calibri" w:cs="Calibri"/>
                <w:position w:val="1"/>
              </w:rPr>
              <w:t>ia</w:t>
            </w:r>
          </w:p>
          <w:p w14:paraId="6FFC1750" w14:textId="77777777" w:rsidR="005C784E" w:rsidRDefault="005C784E" w:rsidP="00511871">
            <w:pPr>
              <w:textAlignment w:val="baseline"/>
              <w:rPr>
                <w:rFonts w:ascii="Calibri" w:eastAsia="Calibri" w:hAnsi="Calibri" w:cs="Calibri"/>
              </w:rPr>
            </w:pPr>
            <w:r w:rsidRPr="00EC6134">
              <w:rPr>
                <w:rFonts w:ascii="Calibri" w:eastAsia="Calibri" w:hAnsi="Calibri" w:cs="Calibri"/>
              </w:rPr>
              <w:t>Scriptwriting for A/V Media Production</w:t>
            </w:r>
          </w:p>
          <w:p w14:paraId="490FE39B" w14:textId="77777777" w:rsidR="005C784E" w:rsidRDefault="005C784E" w:rsidP="00511871">
            <w:pPr>
              <w:textAlignment w:val="baseline"/>
              <w:rPr>
                <w:rFonts w:ascii="Calibri" w:eastAsia="Calibri" w:hAnsi="Calibri" w:cs="Calibri"/>
              </w:rPr>
            </w:pPr>
            <w:r w:rsidRPr="00EC6134">
              <w:rPr>
                <w:rFonts w:ascii="Calibri" w:eastAsia="Calibri" w:hAnsi="Calibri" w:cs="Calibri"/>
              </w:rPr>
              <w:t>Scriptwriting for Audio Media Producti</w:t>
            </w:r>
            <w:r>
              <w:rPr>
                <w:rFonts w:ascii="Calibri" w:eastAsia="Calibri" w:hAnsi="Calibri" w:cs="Calibri"/>
              </w:rPr>
              <w:t>on</w:t>
            </w:r>
          </w:p>
          <w:p w14:paraId="3D5AFC4D" w14:textId="77777777" w:rsidR="005C784E" w:rsidRDefault="005C784E" w:rsidP="00511871">
            <w:pPr>
              <w:textAlignment w:val="baseline"/>
              <w:rPr>
                <w:rFonts w:ascii="Calibri" w:eastAsia="Calibri" w:hAnsi="Calibri" w:cs="Calibri"/>
              </w:rPr>
            </w:pPr>
            <w:r>
              <w:rPr>
                <w:rFonts w:ascii="Calibri" w:eastAsia="Calibri" w:hAnsi="Calibri" w:cs="Calibri"/>
              </w:rPr>
              <w:t>Writing for Video Games</w:t>
            </w:r>
          </w:p>
          <w:p w14:paraId="431371C8" w14:textId="6ECB9ED5" w:rsidR="005C784E" w:rsidRPr="005C784E" w:rsidRDefault="005C784E" w:rsidP="00511871">
            <w:pPr>
              <w:textAlignment w:val="baseline"/>
              <w:rPr>
                <w:rFonts w:ascii="Calibri" w:eastAsia="Calibri" w:hAnsi="Calibri" w:cs="Calibri"/>
                <w:position w:val="1"/>
              </w:rPr>
            </w:pPr>
            <w:r>
              <w:rPr>
                <w:rFonts w:ascii="Calibri" w:eastAsia="Calibri" w:hAnsi="Calibri" w:cs="Calibri"/>
              </w:rPr>
              <w:t>Non-Fiction Scriptwriting</w:t>
            </w:r>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5C00CBA3" w14:textId="77777777" w:rsidR="00951BFD" w:rsidRPr="00177947" w:rsidRDefault="00951BFD" w:rsidP="00511871">
            <w:pPr>
              <w:jc w:val="right"/>
              <w:rPr>
                <w:rFonts w:ascii="inherit" w:eastAsia="Times New Roman" w:hAnsi="inherit" w:cs="Times New Roman"/>
              </w:rPr>
            </w:pPr>
          </w:p>
        </w:tc>
      </w:tr>
      <w:tr w:rsidR="005C784E" w:rsidRPr="00177947" w14:paraId="533AF3DA" w14:textId="77777777" w:rsidTr="00C3222F">
        <w:tc>
          <w:tcPr>
            <w:tcW w:w="1562" w:type="dxa"/>
            <w:tcBorders>
              <w:top w:val="dotted" w:sz="6" w:space="0" w:color="DDDDCC"/>
              <w:left w:val="nil"/>
              <w:bottom w:val="nil"/>
              <w:right w:val="nil"/>
            </w:tcBorders>
            <w:tcMar>
              <w:top w:w="75" w:type="dxa"/>
              <w:left w:w="75" w:type="dxa"/>
              <w:bottom w:w="75" w:type="dxa"/>
              <w:right w:w="75" w:type="dxa"/>
            </w:tcMar>
            <w:vAlign w:val="center"/>
          </w:tcPr>
          <w:p w14:paraId="7101BE00" w14:textId="75DA38B8" w:rsidR="005C784E" w:rsidRDefault="005C784E" w:rsidP="00511871">
            <w:hyperlink r:id="rId18" w:history="1">
              <w:r w:rsidRPr="005C784E">
                <w:rPr>
                  <w:rStyle w:val="Hyperlink"/>
                </w:rPr>
                <w:t>BECA 324</w:t>
              </w:r>
            </w:hyperlink>
          </w:p>
        </w:tc>
        <w:tc>
          <w:tcPr>
            <w:tcW w:w="0" w:type="auto"/>
            <w:tcBorders>
              <w:top w:val="dotted" w:sz="6" w:space="0" w:color="DDDDCC"/>
              <w:left w:val="nil"/>
              <w:bottom w:val="nil"/>
              <w:right w:val="nil"/>
            </w:tcBorders>
            <w:tcMar>
              <w:top w:w="75" w:type="dxa"/>
              <w:left w:w="75" w:type="dxa"/>
              <w:bottom w:w="75" w:type="dxa"/>
              <w:right w:w="75" w:type="dxa"/>
            </w:tcMar>
            <w:vAlign w:val="center"/>
          </w:tcPr>
          <w:p w14:paraId="6AE304C7" w14:textId="43CDA7D7" w:rsidR="005C784E" w:rsidRDefault="005C784E" w:rsidP="00511871">
            <w:pPr>
              <w:textAlignment w:val="baseline"/>
              <w:rPr>
                <w:rFonts w:ascii="Calibri" w:eastAsia="Calibri" w:hAnsi="Calibri" w:cs="Calibri"/>
              </w:rPr>
            </w:pPr>
            <w:r>
              <w:rPr>
                <w:rFonts w:ascii="Calibri" w:eastAsia="Calibri" w:hAnsi="Calibri" w:cs="Calibri"/>
              </w:rPr>
              <w:t>Media Law</w:t>
            </w:r>
          </w:p>
        </w:tc>
        <w:tc>
          <w:tcPr>
            <w:tcW w:w="1071" w:type="dxa"/>
            <w:tcBorders>
              <w:top w:val="dotted" w:sz="6" w:space="0" w:color="DDDDCC"/>
              <w:left w:val="nil"/>
              <w:bottom w:val="nil"/>
              <w:right w:val="nil"/>
            </w:tcBorders>
            <w:tcMar>
              <w:top w:w="75" w:type="dxa"/>
              <w:left w:w="75" w:type="dxa"/>
              <w:bottom w:w="75" w:type="dxa"/>
              <w:right w:w="75" w:type="dxa"/>
            </w:tcMar>
            <w:vAlign w:val="center"/>
          </w:tcPr>
          <w:p w14:paraId="223B2D06" w14:textId="57A3B237" w:rsidR="005C784E" w:rsidRPr="00177947" w:rsidRDefault="005C784E" w:rsidP="005C784E">
            <w:pPr>
              <w:jc w:val="right"/>
              <w:rPr>
                <w:rFonts w:ascii="inherit" w:eastAsia="Times New Roman" w:hAnsi="inherit" w:cs="Times New Roman"/>
              </w:rPr>
            </w:pPr>
            <w:r>
              <w:rPr>
                <w:rFonts w:ascii="inherit" w:eastAsia="Times New Roman" w:hAnsi="inherit" w:cs="Times New Roman"/>
              </w:rPr>
              <w:t>3</w:t>
            </w:r>
          </w:p>
        </w:tc>
      </w:tr>
      <w:tr w:rsidR="00C3222F" w:rsidRPr="00177947" w14:paraId="6A70725B" w14:textId="77777777" w:rsidTr="00C3222F">
        <w:tc>
          <w:tcPr>
            <w:tcW w:w="8379" w:type="dxa"/>
            <w:gridSpan w:val="2"/>
            <w:tcBorders>
              <w:top w:val="dotted" w:sz="6" w:space="0" w:color="DDDDCC"/>
              <w:left w:val="nil"/>
              <w:bottom w:val="nil"/>
              <w:right w:val="nil"/>
            </w:tcBorders>
            <w:tcMar>
              <w:top w:w="75" w:type="dxa"/>
              <w:left w:w="75" w:type="dxa"/>
              <w:bottom w:w="75" w:type="dxa"/>
              <w:right w:w="75" w:type="dxa"/>
            </w:tcMar>
            <w:hideMark/>
          </w:tcPr>
          <w:p w14:paraId="67672FC7" w14:textId="41D8F9E2" w:rsidR="00C3222F" w:rsidRDefault="00C3222F" w:rsidP="009E5B09">
            <w:pPr>
              <w:rPr>
                <w:rFonts w:ascii="inherit" w:eastAsia="Times New Roman" w:hAnsi="inherit" w:cs="Times New Roman"/>
              </w:rPr>
            </w:pPr>
            <w:r>
              <w:rPr>
                <w:rFonts w:ascii="inherit" w:eastAsia="Times New Roman" w:hAnsi="inherit" w:cs="Times New Roman"/>
              </w:rPr>
              <w:t>Foundation Area – Media, Culture, and Society</w:t>
            </w:r>
            <w:r w:rsidRPr="006E406C">
              <w:rPr>
                <w:rFonts w:ascii="inherit" w:eastAsia="Times New Roman" w:hAnsi="inherit" w:cs="Times New Roman"/>
              </w:rPr>
              <w:t xml:space="preserve"> </w:t>
            </w:r>
            <w:r>
              <w:rPr>
                <w:rFonts w:ascii="inherit" w:eastAsia="Times New Roman" w:hAnsi="inherit" w:cs="Times New Roman"/>
              </w:rPr>
              <w:t xml:space="preserve">– </w:t>
            </w:r>
            <w:r w:rsidRPr="00177947">
              <w:rPr>
                <w:rFonts w:ascii="inherit" w:eastAsia="Times New Roman" w:hAnsi="inherit" w:cs="Times New Roman"/>
              </w:rPr>
              <w:t>Select One:</w:t>
            </w:r>
          </w:p>
          <w:p w14:paraId="4A9FB52C" w14:textId="7F2A63A1" w:rsidR="00C3222F" w:rsidRDefault="00C3222F" w:rsidP="009E5B09">
            <w:hyperlink r:id="rId19" w:tooltip="BECA 390" w:history="1">
              <w:r>
                <w:rPr>
                  <w:rFonts w:ascii="inherit" w:eastAsia="Times New Roman" w:hAnsi="inherit" w:cs="Times New Roman"/>
                  <w:color w:val="666600"/>
                  <w:u w:val="single"/>
                  <w:bdr w:val="none" w:sz="0" w:space="0" w:color="auto" w:frame="1"/>
                </w:rPr>
                <w:t>BECA</w:t>
              </w:r>
            </w:hyperlink>
            <w:r>
              <w:rPr>
                <w:rFonts w:ascii="inherit" w:eastAsia="Times New Roman" w:hAnsi="inherit" w:cs="Times New Roman"/>
                <w:color w:val="666600"/>
                <w:u w:val="single"/>
                <w:bdr w:val="none" w:sz="0" w:space="0" w:color="auto" w:frame="1"/>
              </w:rPr>
              <w:t xml:space="preserve"> 301</w:t>
            </w:r>
            <w:r w:rsidR="005C784E">
              <w:rPr>
                <w:rFonts w:ascii="inherit" w:eastAsia="Times New Roman" w:hAnsi="inherit" w:cs="Times New Roman"/>
                <w:color w:val="666600"/>
                <w:u w:val="single"/>
                <w:bdr w:val="none" w:sz="0" w:space="0" w:color="auto" w:frame="1"/>
              </w:rPr>
              <w:t xml:space="preserve">          </w:t>
            </w:r>
            <w:r>
              <w:rPr>
                <w:rFonts w:ascii="inherit" w:eastAsia="Times New Roman" w:hAnsi="inherit" w:cs="Times New Roman"/>
              </w:rPr>
              <w:t>Media Literacy</w:t>
            </w:r>
          </w:p>
          <w:p w14:paraId="5E732201" w14:textId="4EB49BF3" w:rsidR="00C3222F" w:rsidRPr="00C3222F" w:rsidRDefault="00C3222F" w:rsidP="009E5B09">
            <w:pPr>
              <w:rPr>
                <w:rFonts w:ascii="inherit" w:eastAsia="Times New Roman" w:hAnsi="inherit" w:cs="Times New Roman"/>
              </w:rPr>
            </w:pPr>
            <w:hyperlink r:id="rId20" w:tooltip="BECA 321" w:history="1">
              <w:r w:rsidRPr="00177947">
                <w:rPr>
                  <w:rFonts w:ascii="inherit" w:eastAsia="Times New Roman" w:hAnsi="inherit" w:cs="Times New Roman"/>
                  <w:color w:val="666600"/>
                  <w:u w:val="single"/>
                  <w:bdr w:val="none" w:sz="0" w:space="0" w:color="auto" w:frame="1"/>
                </w:rPr>
                <w:t>BECA 321</w:t>
              </w:r>
            </w:hyperlink>
            <w:r>
              <w:rPr>
                <w:rFonts w:ascii="inherit" w:eastAsia="Times New Roman" w:hAnsi="inherit" w:cs="Times New Roman"/>
                <w:color w:val="666600"/>
                <w:u w:val="single"/>
                <w:bdr w:val="none" w:sz="0" w:space="0" w:color="auto" w:frame="1"/>
              </w:rPr>
              <w:t xml:space="preserve"> </w:t>
            </w:r>
            <w:r w:rsidR="005C784E">
              <w:rPr>
                <w:rFonts w:ascii="inherit" w:eastAsia="Times New Roman" w:hAnsi="inherit" w:cs="Times New Roman"/>
                <w:color w:val="666600"/>
                <w:u w:val="single"/>
                <w:bdr w:val="none" w:sz="0" w:space="0" w:color="auto" w:frame="1"/>
              </w:rPr>
              <w:t xml:space="preserve">         </w:t>
            </w:r>
            <w:r w:rsidRPr="00177947">
              <w:rPr>
                <w:rFonts w:ascii="inherit" w:eastAsia="Times New Roman" w:hAnsi="inherit" w:cs="Times New Roman"/>
              </w:rPr>
              <w:t>Critical Study of Popular Culture</w:t>
            </w:r>
          </w:p>
          <w:p w14:paraId="782627DF" w14:textId="6D75B4BD" w:rsidR="00C3222F" w:rsidRDefault="00C3222F" w:rsidP="009E5B09">
            <w:pPr>
              <w:rPr>
                <w:rFonts w:ascii="inherit" w:eastAsia="Times New Roman" w:hAnsi="inherit" w:cs="Times New Roman"/>
                <w:color w:val="666600"/>
                <w:u w:val="single"/>
                <w:bdr w:val="none" w:sz="0" w:space="0" w:color="auto" w:frame="1"/>
              </w:rPr>
            </w:pPr>
            <w:hyperlink r:id="rId21" w:tooltip="BECA 422" w:history="1">
              <w:r w:rsidRPr="00177947">
                <w:rPr>
                  <w:rFonts w:ascii="inherit" w:eastAsia="Times New Roman" w:hAnsi="inherit" w:cs="Times New Roman"/>
                  <w:color w:val="666600"/>
                  <w:u w:val="single"/>
                  <w:bdr w:val="none" w:sz="0" w:space="0" w:color="auto" w:frame="1"/>
                </w:rPr>
                <w:t>BECA 422</w:t>
              </w:r>
            </w:hyperlink>
            <w:r>
              <w:rPr>
                <w:rFonts w:ascii="inherit" w:eastAsia="Times New Roman" w:hAnsi="inherit" w:cs="Times New Roman"/>
                <w:color w:val="666600"/>
                <w:u w:val="single"/>
                <w:bdr w:val="none" w:sz="0" w:space="0" w:color="auto" w:frame="1"/>
              </w:rPr>
              <w:t xml:space="preserve"> </w:t>
            </w:r>
            <w:r w:rsidR="005C784E">
              <w:rPr>
                <w:rFonts w:ascii="inherit" w:eastAsia="Times New Roman" w:hAnsi="inherit" w:cs="Times New Roman"/>
                <w:color w:val="666600"/>
                <w:u w:val="single"/>
                <w:bdr w:val="none" w:sz="0" w:space="0" w:color="auto" w:frame="1"/>
              </w:rPr>
              <w:t xml:space="preserve">         </w:t>
            </w:r>
            <w:r w:rsidR="005C784E">
              <w:rPr>
                <w:rFonts w:ascii="inherit" w:eastAsia="Times New Roman" w:hAnsi="inherit" w:cs="Times New Roman"/>
              </w:rPr>
              <w:t>Media and Society</w:t>
            </w:r>
          </w:p>
          <w:p w14:paraId="3AD5832D" w14:textId="04EEF67F" w:rsidR="00C3222F" w:rsidRPr="00177947" w:rsidRDefault="00C3222F" w:rsidP="009E5B09">
            <w:pPr>
              <w:rPr>
                <w:rFonts w:ascii="inherit" w:eastAsia="Times New Roman" w:hAnsi="inherit" w:cs="Times New Roman"/>
              </w:rPr>
            </w:pPr>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2C16315C" w14:textId="77777777" w:rsidR="00C3222F" w:rsidRPr="00177947" w:rsidRDefault="00C3222F" w:rsidP="009E5B09">
            <w:pPr>
              <w:jc w:val="right"/>
              <w:rPr>
                <w:rFonts w:ascii="inherit" w:eastAsia="Times New Roman" w:hAnsi="inherit" w:cs="Times New Roman"/>
              </w:rPr>
            </w:pPr>
            <w:r w:rsidRPr="00177947">
              <w:rPr>
                <w:rFonts w:ascii="inherit" w:eastAsia="Times New Roman" w:hAnsi="inherit" w:cs="Times New Roman"/>
              </w:rPr>
              <w:t>3</w:t>
            </w:r>
          </w:p>
        </w:tc>
      </w:tr>
      <w:tr w:rsidR="00FD2486" w:rsidRPr="00177947" w14:paraId="01F51CA5" w14:textId="77777777" w:rsidTr="00C3222F">
        <w:tc>
          <w:tcPr>
            <w:tcW w:w="8379" w:type="dxa"/>
            <w:gridSpan w:val="2"/>
            <w:tcBorders>
              <w:top w:val="dotted" w:sz="6" w:space="0" w:color="DDDDCC"/>
              <w:left w:val="nil"/>
              <w:bottom w:val="nil"/>
              <w:right w:val="nil"/>
            </w:tcBorders>
            <w:tcMar>
              <w:top w:w="75" w:type="dxa"/>
              <w:left w:w="75" w:type="dxa"/>
              <w:bottom w:w="75" w:type="dxa"/>
              <w:right w:w="75" w:type="dxa"/>
            </w:tcMar>
            <w:hideMark/>
          </w:tcPr>
          <w:p w14:paraId="138D3D71" w14:textId="06E31361" w:rsidR="00C3222F" w:rsidRPr="00C3222F" w:rsidRDefault="00FD2486" w:rsidP="00FD2486">
            <w:pPr>
              <w:rPr>
                <w:rFonts w:ascii="inherit" w:eastAsia="Times New Roman" w:hAnsi="inherit" w:cs="Times New Roman"/>
                <w:color w:val="666600"/>
                <w:u w:val="single"/>
                <w:bdr w:val="none" w:sz="0" w:space="0" w:color="auto" w:frame="1"/>
              </w:rPr>
            </w:pPr>
            <w:hyperlink r:id="rId22" w:anchor="usg" w:history="1">
              <w:r w:rsidRPr="00177947">
                <w:rPr>
                  <w:rFonts w:ascii="inherit" w:eastAsia="Times New Roman" w:hAnsi="inherit" w:cs="Times New Roman"/>
                  <w:color w:val="666600"/>
                  <w:u w:val="single"/>
                  <w:bdr w:val="none" w:sz="0" w:space="0" w:color="auto" w:frame="1"/>
                </w:rPr>
                <w:t>U.S. and California Government</w:t>
              </w:r>
            </w:hyperlink>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2C7AE6CD" w14:textId="77777777" w:rsidR="00FD2486" w:rsidRPr="00177947" w:rsidRDefault="00FD2486" w:rsidP="00FD2486">
            <w:pPr>
              <w:jc w:val="right"/>
              <w:rPr>
                <w:rFonts w:ascii="inherit" w:eastAsia="Times New Roman" w:hAnsi="inherit" w:cs="Times New Roman"/>
              </w:rPr>
            </w:pPr>
            <w:r w:rsidRPr="00177947">
              <w:rPr>
                <w:rFonts w:ascii="inherit" w:eastAsia="Times New Roman" w:hAnsi="inherit" w:cs="Times New Roman"/>
              </w:rPr>
              <w:t>3</w:t>
            </w:r>
          </w:p>
        </w:tc>
      </w:tr>
      <w:tr w:rsidR="00FD2486" w:rsidRPr="00177947" w14:paraId="218A1A3B" w14:textId="77777777" w:rsidTr="00C3222F">
        <w:tc>
          <w:tcPr>
            <w:tcW w:w="8379" w:type="dxa"/>
            <w:gridSpan w:val="2"/>
            <w:tcBorders>
              <w:top w:val="dotted" w:sz="6" w:space="0" w:color="DDDDCC"/>
              <w:left w:val="nil"/>
              <w:bottom w:val="nil"/>
              <w:right w:val="nil"/>
            </w:tcBorders>
            <w:tcMar>
              <w:top w:w="75" w:type="dxa"/>
              <w:left w:w="75" w:type="dxa"/>
              <w:bottom w:w="75" w:type="dxa"/>
              <w:right w:w="75" w:type="dxa"/>
            </w:tcMar>
            <w:hideMark/>
          </w:tcPr>
          <w:p w14:paraId="33589513" w14:textId="63A9109C" w:rsidR="00FD2486" w:rsidRPr="00177947" w:rsidRDefault="00FD2486" w:rsidP="00FD2486">
            <w:pPr>
              <w:textAlignment w:val="baseline"/>
              <w:rPr>
                <w:rFonts w:ascii="inherit" w:eastAsia="Times New Roman" w:hAnsi="inherit" w:cs="Times New Roman"/>
              </w:rPr>
            </w:pPr>
            <w:r w:rsidRPr="00177947">
              <w:rPr>
                <w:rFonts w:ascii="inherit" w:eastAsia="Times New Roman" w:hAnsi="inherit" w:cs="Times New Roman"/>
              </w:rPr>
              <w:t>University Elective</w:t>
            </w:r>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685BB70B" w14:textId="343A492A" w:rsidR="00FD2486" w:rsidRPr="00177947" w:rsidRDefault="00FD2486" w:rsidP="00F77DCF">
            <w:pPr>
              <w:jc w:val="right"/>
              <w:rPr>
                <w:rFonts w:ascii="inherit" w:eastAsia="Times New Roman" w:hAnsi="inherit" w:cs="Times New Roman"/>
              </w:rPr>
            </w:pPr>
            <w:r w:rsidRPr="00177947">
              <w:rPr>
                <w:rFonts w:ascii="inherit" w:eastAsia="Times New Roman" w:hAnsi="inherit" w:cs="Times New Roman"/>
              </w:rPr>
              <w:t> </w:t>
            </w:r>
            <w:r w:rsidR="00F77DCF">
              <w:rPr>
                <w:rFonts w:ascii="inherit" w:eastAsia="Times New Roman" w:hAnsi="inherit" w:cs="Times New Roman"/>
              </w:rPr>
              <w:t>3</w:t>
            </w:r>
          </w:p>
        </w:tc>
      </w:tr>
      <w:tr w:rsidR="00FD2486" w:rsidRPr="00177947" w14:paraId="16DEA586" w14:textId="77777777" w:rsidTr="00C3222F">
        <w:tc>
          <w:tcPr>
            <w:tcW w:w="0" w:type="auto"/>
            <w:tcBorders>
              <w:top w:val="dotted" w:sz="6" w:space="0" w:color="DDDDCC"/>
              <w:left w:val="nil"/>
              <w:bottom w:val="nil"/>
              <w:right w:val="nil"/>
            </w:tcBorders>
            <w:tcMar>
              <w:top w:w="75" w:type="dxa"/>
              <w:left w:w="75" w:type="dxa"/>
              <w:bottom w:w="75" w:type="dxa"/>
              <w:right w:w="75" w:type="dxa"/>
            </w:tcMar>
            <w:hideMark/>
          </w:tcPr>
          <w:p w14:paraId="34E6B105" w14:textId="77777777" w:rsidR="00FD2486" w:rsidRPr="00177947" w:rsidRDefault="00FD2486" w:rsidP="00FD2486">
            <w:pPr>
              <w:rPr>
                <w:rFonts w:ascii="inherit" w:eastAsia="Times New Roman" w:hAnsi="inherit" w:cs="Times New Roman"/>
                <w:b/>
                <w:bCs/>
              </w:rPr>
            </w:pPr>
            <w:r w:rsidRPr="00177947">
              <w:rPr>
                <w:rFonts w:ascii="inherit" w:eastAsia="Times New Roman" w:hAnsi="inherit" w:cs="Times New Roman"/>
                <w:b/>
                <w:bCs/>
              </w:rPr>
              <w:lastRenderedPageBreak/>
              <w:t> </w:t>
            </w:r>
          </w:p>
        </w:tc>
        <w:tc>
          <w:tcPr>
            <w:tcW w:w="0" w:type="auto"/>
            <w:tcBorders>
              <w:top w:val="dotted" w:sz="6" w:space="0" w:color="DDDDCC"/>
              <w:left w:val="nil"/>
              <w:bottom w:val="nil"/>
              <w:right w:val="nil"/>
            </w:tcBorders>
            <w:tcMar>
              <w:top w:w="75" w:type="dxa"/>
              <w:left w:w="75" w:type="dxa"/>
              <w:bottom w:w="75" w:type="dxa"/>
              <w:right w:w="75" w:type="dxa"/>
            </w:tcMar>
            <w:hideMark/>
          </w:tcPr>
          <w:p w14:paraId="1121D713" w14:textId="77777777" w:rsidR="00FD2486" w:rsidRPr="00177947" w:rsidRDefault="00FD2486" w:rsidP="00FD2486">
            <w:pPr>
              <w:rPr>
                <w:rFonts w:ascii="inherit" w:eastAsia="Times New Roman" w:hAnsi="inherit" w:cs="Times New Roman"/>
                <w:b/>
                <w:bCs/>
              </w:rPr>
            </w:pPr>
            <w:r w:rsidRPr="00177947">
              <w:rPr>
                <w:rFonts w:ascii="inherit" w:eastAsia="Times New Roman" w:hAnsi="inherit" w:cs="Times New Roman"/>
                <w:b/>
                <w:bCs/>
              </w:rPr>
              <w:t>Units</w:t>
            </w:r>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5A44A79A" w14:textId="2A69708F" w:rsidR="00FD2486" w:rsidRPr="00177947" w:rsidRDefault="00FD2486" w:rsidP="00FD2486">
            <w:pPr>
              <w:jc w:val="right"/>
              <w:rPr>
                <w:rFonts w:ascii="inherit" w:eastAsia="Times New Roman" w:hAnsi="inherit" w:cs="Times New Roman"/>
                <w:b/>
                <w:bCs/>
              </w:rPr>
            </w:pPr>
            <w:r w:rsidRPr="00177947">
              <w:rPr>
                <w:rFonts w:ascii="inherit" w:eastAsia="Times New Roman" w:hAnsi="inherit" w:cs="Times New Roman"/>
                <w:b/>
                <w:bCs/>
              </w:rPr>
              <w:t>1</w:t>
            </w:r>
            <w:r>
              <w:rPr>
                <w:rFonts w:ascii="inherit" w:eastAsia="Times New Roman" w:hAnsi="inherit" w:cs="Times New Roman"/>
                <w:b/>
                <w:bCs/>
              </w:rPr>
              <w:t>5</w:t>
            </w:r>
          </w:p>
        </w:tc>
      </w:tr>
      <w:tr w:rsidR="00FD2486" w:rsidRPr="00177947" w14:paraId="4720391A" w14:textId="77777777" w:rsidTr="00177947">
        <w:tc>
          <w:tcPr>
            <w:tcW w:w="9450" w:type="dxa"/>
            <w:gridSpan w:val="3"/>
            <w:tcBorders>
              <w:top w:val="dotted" w:sz="6" w:space="0" w:color="DDDCCC"/>
              <w:left w:val="nil"/>
              <w:bottom w:val="single" w:sz="12" w:space="0" w:color="DDDDCC"/>
              <w:right w:val="nil"/>
            </w:tcBorders>
            <w:tcMar>
              <w:top w:w="75" w:type="dxa"/>
              <w:left w:w="75" w:type="dxa"/>
              <w:bottom w:w="75" w:type="dxa"/>
              <w:right w:w="75" w:type="dxa"/>
            </w:tcMar>
            <w:hideMark/>
          </w:tcPr>
          <w:p w14:paraId="7680D2B4" w14:textId="77777777" w:rsidR="00FD2486" w:rsidRPr="00177947" w:rsidRDefault="00FD2486" w:rsidP="00FD2486">
            <w:pPr>
              <w:rPr>
                <w:rFonts w:ascii="inherit" w:eastAsia="Times New Roman" w:hAnsi="inherit" w:cs="Times New Roman"/>
                <w:b/>
                <w:bCs/>
                <w:color w:val="505066"/>
                <w:sz w:val="22"/>
                <w:szCs w:val="22"/>
              </w:rPr>
            </w:pPr>
            <w:r w:rsidRPr="00177947">
              <w:rPr>
                <w:rFonts w:ascii="inherit" w:eastAsia="Times New Roman" w:hAnsi="inherit" w:cs="Times New Roman"/>
                <w:b/>
                <w:bCs/>
                <w:color w:val="505066"/>
                <w:sz w:val="22"/>
                <w:szCs w:val="22"/>
              </w:rPr>
              <w:t>Third Semester</w:t>
            </w:r>
          </w:p>
        </w:tc>
      </w:tr>
      <w:tr w:rsidR="00FD2486" w:rsidRPr="00177947" w14:paraId="7EB2A922" w14:textId="77777777" w:rsidTr="00C3222F">
        <w:tc>
          <w:tcPr>
            <w:tcW w:w="8379" w:type="dxa"/>
            <w:gridSpan w:val="2"/>
            <w:tcBorders>
              <w:top w:val="dotted" w:sz="6" w:space="0" w:color="DDDDCC"/>
              <w:left w:val="nil"/>
              <w:bottom w:val="nil"/>
              <w:right w:val="nil"/>
            </w:tcBorders>
            <w:tcMar>
              <w:top w:w="75" w:type="dxa"/>
              <w:left w:w="75" w:type="dxa"/>
              <w:bottom w:w="75" w:type="dxa"/>
              <w:right w:w="75" w:type="dxa"/>
            </w:tcMar>
            <w:hideMark/>
          </w:tcPr>
          <w:p w14:paraId="36F3CFCC" w14:textId="77777777" w:rsidR="00FD2486" w:rsidRPr="00177947" w:rsidRDefault="00FD2486" w:rsidP="00FD2486">
            <w:pPr>
              <w:rPr>
                <w:rFonts w:ascii="inherit" w:eastAsia="Times New Roman" w:hAnsi="inherit" w:cs="Times New Roman"/>
              </w:rPr>
            </w:pPr>
            <w:hyperlink r:id="rId23" w:anchor="artsandorhumanitiesudctext" w:history="1">
              <w:r w:rsidRPr="00177947">
                <w:rPr>
                  <w:rFonts w:ascii="inherit" w:eastAsia="Times New Roman" w:hAnsi="inherit" w:cs="Times New Roman"/>
                  <w:color w:val="666600"/>
                  <w:u w:val="single"/>
                  <w:bdr w:val="none" w:sz="0" w:space="0" w:color="auto" w:frame="1"/>
                </w:rPr>
                <w:t>GE Area UD–C: Upper Division Arts and/or Humanities</w:t>
              </w:r>
            </w:hyperlink>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4277883F" w14:textId="77777777" w:rsidR="00FD2486" w:rsidRPr="00177947" w:rsidRDefault="00FD2486" w:rsidP="00FD2486">
            <w:pPr>
              <w:jc w:val="right"/>
              <w:rPr>
                <w:rFonts w:ascii="inherit" w:eastAsia="Times New Roman" w:hAnsi="inherit" w:cs="Times New Roman"/>
              </w:rPr>
            </w:pPr>
            <w:r w:rsidRPr="00177947">
              <w:rPr>
                <w:rFonts w:ascii="inherit" w:eastAsia="Times New Roman" w:hAnsi="inherit" w:cs="Times New Roman"/>
              </w:rPr>
              <w:t>3</w:t>
            </w:r>
          </w:p>
        </w:tc>
      </w:tr>
      <w:tr w:rsidR="00FD2486" w:rsidRPr="00177947" w14:paraId="4C77AF05" w14:textId="77777777" w:rsidTr="00C3222F">
        <w:tc>
          <w:tcPr>
            <w:tcW w:w="8379" w:type="dxa"/>
            <w:gridSpan w:val="2"/>
            <w:tcBorders>
              <w:top w:val="dotted" w:sz="6" w:space="0" w:color="DDDDCC"/>
              <w:left w:val="nil"/>
              <w:bottom w:val="nil"/>
              <w:right w:val="nil"/>
            </w:tcBorders>
            <w:tcMar>
              <w:top w:w="75" w:type="dxa"/>
              <w:left w:w="75" w:type="dxa"/>
              <w:bottom w:w="75" w:type="dxa"/>
              <w:right w:w="75" w:type="dxa"/>
            </w:tcMar>
            <w:hideMark/>
          </w:tcPr>
          <w:p w14:paraId="270F6BCC" w14:textId="77777777" w:rsidR="00FD2486" w:rsidRPr="00177947" w:rsidRDefault="00FD2486" w:rsidP="00FD2486">
            <w:pPr>
              <w:rPr>
                <w:rFonts w:ascii="inherit" w:eastAsia="Times New Roman" w:hAnsi="inherit" w:cs="Times New Roman"/>
              </w:rPr>
            </w:pPr>
            <w:r w:rsidRPr="00177947">
              <w:rPr>
                <w:rFonts w:ascii="inherit" w:eastAsia="Times New Roman" w:hAnsi="inherit" w:cs="Times New Roman"/>
              </w:rPr>
              <w:t>Major Elective – select in consultation with an advisor – Take Three</w:t>
            </w:r>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15A74110" w14:textId="77777777" w:rsidR="00FD2486" w:rsidRPr="00177947" w:rsidRDefault="00FD2486" w:rsidP="00FD2486">
            <w:pPr>
              <w:jc w:val="right"/>
              <w:rPr>
                <w:rFonts w:ascii="inherit" w:eastAsia="Times New Roman" w:hAnsi="inherit" w:cs="Times New Roman"/>
              </w:rPr>
            </w:pPr>
            <w:r w:rsidRPr="00177947">
              <w:rPr>
                <w:rFonts w:ascii="inherit" w:eastAsia="Times New Roman" w:hAnsi="inherit" w:cs="Times New Roman"/>
              </w:rPr>
              <w:t>9</w:t>
            </w:r>
          </w:p>
        </w:tc>
      </w:tr>
      <w:tr w:rsidR="005C784E" w:rsidRPr="00177947" w14:paraId="0AB83F69" w14:textId="77777777" w:rsidTr="00C3222F">
        <w:tc>
          <w:tcPr>
            <w:tcW w:w="8379" w:type="dxa"/>
            <w:gridSpan w:val="2"/>
            <w:tcBorders>
              <w:top w:val="dotted" w:sz="6" w:space="0" w:color="DDDDCC"/>
              <w:left w:val="nil"/>
              <w:bottom w:val="nil"/>
              <w:right w:val="nil"/>
            </w:tcBorders>
            <w:tcMar>
              <w:top w:w="75" w:type="dxa"/>
              <w:left w:w="75" w:type="dxa"/>
              <w:bottom w:w="75" w:type="dxa"/>
              <w:right w:w="75" w:type="dxa"/>
            </w:tcMar>
          </w:tcPr>
          <w:p w14:paraId="0D04105C" w14:textId="2F457AB6" w:rsidR="005C784E" w:rsidRPr="00177947" w:rsidRDefault="005C784E" w:rsidP="005C784E">
            <w:pPr>
              <w:rPr>
                <w:rFonts w:ascii="inherit" w:eastAsia="Times New Roman" w:hAnsi="inherit" w:cs="Times New Roman"/>
              </w:rPr>
            </w:pPr>
            <w:r w:rsidRPr="00177947">
              <w:rPr>
                <w:rFonts w:ascii="inherit" w:eastAsia="Times New Roman" w:hAnsi="inherit" w:cs="Times New Roman"/>
              </w:rPr>
              <w:t>University Elective</w:t>
            </w:r>
          </w:p>
        </w:tc>
        <w:tc>
          <w:tcPr>
            <w:tcW w:w="1071" w:type="dxa"/>
            <w:tcBorders>
              <w:top w:val="dotted" w:sz="6" w:space="0" w:color="DDDDCC"/>
              <w:left w:val="nil"/>
              <w:bottom w:val="nil"/>
              <w:right w:val="nil"/>
            </w:tcBorders>
            <w:tcMar>
              <w:top w:w="75" w:type="dxa"/>
              <w:left w:w="75" w:type="dxa"/>
              <w:bottom w:w="75" w:type="dxa"/>
              <w:right w:w="75" w:type="dxa"/>
            </w:tcMar>
            <w:vAlign w:val="center"/>
          </w:tcPr>
          <w:p w14:paraId="6FF45044" w14:textId="17815869" w:rsidR="005C784E" w:rsidRPr="00177947" w:rsidRDefault="005C784E" w:rsidP="005C784E">
            <w:pPr>
              <w:jc w:val="right"/>
              <w:rPr>
                <w:rFonts w:ascii="inherit" w:eastAsia="Times New Roman" w:hAnsi="inherit" w:cs="Times New Roman"/>
              </w:rPr>
            </w:pPr>
            <w:r w:rsidRPr="00177947">
              <w:rPr>
                <w:rFonts w:ascii="inherit" w:eastAsia="Times New Roman" w:hAnsi="inherit" w:cs="Times New Roman"/>
              </w:rPr>
              <w:t> </w:t>
            </w:r>
            <w:r>
              <w:rPr>
                <w:rFonts w:ascii="inherit" w:eastAsia="Times New Roman" w:hAnsi="inherit" w:cs="Times New Roman"/>
              </w:rPr>
              <w:t>3</w:t>
            </w:r>
          </w:p>
        </w:tc>
      </w:tr>
      <w:tr w:rsidR="005C784E" w:rsidRPr="00177947" w14:paraId="13B64C66" w14:textId="77777777" w:rsidTr="00C3222F">
        <w:tc>
          <w:tcPr>
            <w:tcW w:w="0" w:type="auto"/>
            <w:tcBorders>
              <w:top w:val="dotted" w:sz="6" w:space="0" w:color="DDDDCC"/>
              <w:left w:val="nil"/>
              <w:bottom w:val="nil"/>
              <w:right w:val="nil"/>
            </w:tcBorders>
            <w:tcMar>
              <w:top w:w="75" w:type="dxa"/>
              <w:left w:w="75" w:type="dxa"/>
              <w:bottom w:w="75" w:type="dxa"/>
              <w:right w:w="75" w:type="dxa"/>
            </w:tcMar>
            <w:hideMark/>
          </w:tcPr>
          <w:p w14:paraId="2682331A" w14:textId="77777777" w:rsidR="005C784E" w:rsidRPr="00177947" w:rsidRDefault="005C784E" w:rsidP="005C784E">
            <w:pPr>
              <w:rPr>
                <w:rFonts w:ascii="inherit" w:eastAsia="Times New Roman" w:hAnsi="inherit" w:cs="Times New Roman"/>
                <w:b/>
                <w:bCs/>
              </w:rPr>
            </w:pPr>
            <w:r w:rsidRPr="00177947">
              <w:rPr>
                <w:rFonts w:ascii="inherit" w:eastAsia="Times New Roman" w:hAnsi="inherit" w:cs="Times New Roman"/>
                <w:b/>
                <w:bCs/>
              </w:rPr>
              <w:t> </w:t>
            </w:r>
          </w:p>
        </w:tc>
        <w:tc>
          <w:tcPr>
            <w:tcW w:w="0" w:type="auto"/>
            <w:tcBorders>
              <w:top w:val="dotted" w:sz="6" w:space="0" w:color="DDDDCC"/>
              <w:left w:val="nil"/>
              <w:bottom w:val="nil"/>
              <w:right w:val="nil"/>
            </w:tcBorders>
            <w:tcMar>
              <w:top w:w="75" w:type="dxa"/>
              <w:left w:w="75" w:type="dxa"/>
              <w:bottom w:w="75" w:type="dxa"/>
              <w:right w:w="75" w:type="dxa"/>
            </w:tcMar>
            <w:hideMark/>
          </w:tcPr>
          <w:p w14:paraId="6BEF2F94" w14:textId="77777777" w:rsidR="005C784E" w:rsidRPr="00177947" w:rsidRDefault="005C784E" w:rsidP="005C784E">
            <w:pPr>
              <w:rPr>
                <w:rFonts w:ascii="inherit" w:eastAsia="Times New Roman" w:hAnsi="inherit" w:cs="Times New Roman"/>
                <w:b/>
                <w:bCs/>
              </w:rPr>
            </w:pPr>
            <w:r w:rsidRPr="00177947">
              <w:rPr>
                <w:rFonts w:ascii="inherit" w:eastAsia="Times New Roman" w:hAnsi="inherit" w:cs="Times New Roman"/>
                <w:b/>
                <w:bCs/>
              </w:rPr>
              <w:t>Units</w:t>
            </w:r>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52013760" w14:textId="77777777" w:rsidR="005C784E" w:rsidRPr="00177947" w:rsidRDefault="005C784E" w:rsidP="005C784E">
            <w:pPr>
              <w:jc w:val="right"/>
              <w:rPr>
                <w:rFonts w:ascii="inherit" w:eastAsia="Times New Roman" w:hAnsi="inherit" w:cs="Times New Roman"/>
                <w:b/>
                <w:bCs/>
              </w:rPr>
            </w:pPr>
            <w:r w:rsidRPr="00177947">
              <w:rPr>
                <w:rFonts w:ascii="inherit" w:eastAsia="Times New Roman" w:hAnsi="inherit" w:cs="Times New Roman"/>
                <w:b/>
                <w:bCs/>
              </w:rPr>
              <w:t>15</w:t>
            </w:r>
          </w:p>
        </w:tc>
      </w:tr>
      <w:tr w:rsidR="005C784E" w:rsidRPr="00177947" w14:paraId="5F7B9061" w14:textId="77777777" w:rsidTr="00177947">
        <w:tc>
          <w:tcPr>
            <w:tcW w:w="9450" w:type="dxa"/>
            <w:gridSpan w:val="3"/>
            <w:tcBorders>
              <w:top w:val="dotted" w:sz="6" w:space="0" w:color="DDDCCC"/>
              <w:left w:val="nil"/>
              <w:bottom w:val="single" w:sz="12" w:space="0" w:color="DDDDCC"/>
              <w:right w:val="nil"/>
            </w:tcBorders>
            <w:tcMar>
              <w:top w:w="75" w:type="dxa"/>
              <w:left w:w="75" w:type="dxa"/>
              <w:bottom w:w="75" w:type="dxa"/>
              <w:right w:w="75" w:type="dxa"/>
            </w:tcMar>
            <w:hideMark/>
          </w:tcPr>
          <w:p w14:paraId="539D9575" w14:textId="77777777" w:rsidR="005C784E" w:rsidRPr="00177947" w:rsidRDefault="005C784E" w:rsidP="005C784E">
            <w:pPr>
              <w:rPr>
                <w:rFonts w:ascii="inherit" w:eastAsia="Times New Roman" w:hAnsi="inherit" w:cs="Times New Roman"/>
                <w:b/>
                <w:bCs/>
                <w:color w:val="505066"/>
                <w:sz w:val="22"/>
                <w:szCs w:val="22"/>
              </w:rPr>
            </w:pPr>
            <w:r w:rsidRPr="00177947">
              <w:rPr>
                <w:rFonts w:ascii="inherit" w:eastAsia="Times New Roman" w:hAnsi="inherit" w:cs="Times New Roman"/>
                <w:b/>
                <w:bCs/>
                <w:color w:val="505066"/>
                <w:sz w:val="22"/>
                <w:szCs w:val="22"/>
              </w:rPr>
              <w:t>Fourth Semester</w:t>
            </w:r>
          </w:p>
        </w:tc>
      </w:tr>
      <w:tr w:rsidR="005C784E" w:rsidRPr="00177947" w14:paraId="4196B15E" w14:textId="77777777" w:rsidTr="00C3222F">
        <w:tc>
          <w:tcPr>
            <w:tcW w:w="8379" w:type="dxa"/>
            <w:gridSpan w:val="2"/>
            <w:tcBorders>
              <w:top w:val="dotted" w:sz="6" w:space="0" w:color="DDDDCC"/>
              <w:left w:val="nil"/>
              <w:bottom w:val="nil"/>
              <w:right w:val="nil"/>
            </w:tcBorders>
            <w:tcMar>
              <w:top w:w="75" w:type="dxa"/>
              <w:left w:w="75" w:type="dxa"/>
              <w:bottom w:w="75" w:type="dxa"/>
              <w:right w:w="75" w:type="dxa"/>
            </w:tcMar>
            <w:hideMark/>
          </w:tcPr>
          <w:p w14:paraId="1541A43F" w14:textId="77777777" w:rsidR="005C784E" w:rsidRPr="00177947" w:rsidRDefault="005C784E" w:rsidP="005C784E">
            <w:pPr>
              <w:rPr>
                <w:rFonts w:ascii="inherit" w:eastAsia="Times New Roman" w:hAnsi="inherit" w:cs="Times New Roman"/>
              </w:rPr>
            </w:pPr>
            <w:hyperlink r:id="rId24" w:history="1">
              <w:r w:rsidRPr="00177947">
                <w:rPr>
                  <w:rFonts w:ascii="inherit" w:eastAsia="Times New Roman" w:hAnsi="inherit" w:cs="Times New Roman"/>
                  <w:color w:val="666600"/>
                  <w:u w:val="single"/>
                  <w:bdr w:val="none" w:sz="0" w:space="0" w:color="auto" w:frame="1"/>
                </w:rPr>
                <w:t>Upper Division GE: UD-B, UD-C, or UD-D</w:t>
              </w:r>
            </w:hyperlink>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1246CF98" w14:textId="77777777" w:rsidR="005C784E" w:rsidRPr="00177947" w:rsidRDefault="005C784E" w:rsidP="005C784E">
            <w:pPr>
              <w:jc w:val="right"/>
              <w:rPr>
                <w:rFonts w:ascii="inherit" w:eastAsia="Times New Roman" w:hAnsi="inherit" w:cs="Times New Roman"/>
              </w:rPr>
            </w:pPr>
            <w:r w:rsidRPr="00177947">
              <w:rPr>
                <w:rFonts w:ascii="inherit" w:eastAsia="Times New Roman" w:hAnsi="inherit" w:cs="Times New Roman"/>
              </w:rPr>
              <w:t>3</w:t>
            </w:r>
          </w:p>
        </w:tc>
      </w:tr>
      <w:tr w:rsidR="005C784E" w:rsidRPr="00177947" w14:paraId="79230A02" w14:textId="77777777" w:rsidTr="00C3222F">
        <w:tc>
          <w:tcPr>
            <w:tcW w:w="8379" w:type="dxa"/>
            <w:gridSpan w:val="2"/>
            <w:tcBorders>
              <w:top w:val="dotted" w:sz="6" w:space="0" w:color="DDDDCC"/>
              <w:left w:val="nil"/>
              <w:bottom w:val="nil"/>
              <w:right w:val="nil"/>
            </w:tcBorders>
            <w:tcMar>
              <w:top w:w="75" w:type="dxa"/>
              <w:left w:w="75" w:type="dxa"/>
              <w:bottom w:w="75" w:type="dxa"/>
              <w:right w:w="75" w:type="dxa"/>
            </w:tcMar>
            <w:hideMark/>
          </w:tcPr>
          <w:p w14:paraId="4D1F3100" w14:textId="77777777" w:rsidR="005C784E" w:rsidRPr="00177947" w:rsidRDefault="005C784E" w:rsidP="005C784E">
            <w:pPr>
              <w:rPr>
                <w:rFonts w:ascii="inherit" w:eastAsia="Times New Roman" w:hAnsi="inherit" w:cs="Times New Roman"/>
              </w:rPr>
            </w:pPr>
            <w:r w:rsidRPr="00177947">
              <w:rPr>
                <w:rFonts w:ascii="inherit" w:eastAsia="Times New Roman" w:hAnsi="inherit" w:cs="Times New Roman"/>
              </w:rPr>
              <w:t>Major Elective – select in consultation with an advisor - Take Two</w:t>
            </w:r>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40A79C46" w14:textId="77777777" w:rsidR="005C784E" w:rsidRPr="00177947" w:rsidRDefault="005C784E" w:rsidP="005C784E">
            <w:pPr>
              <w:jc w:val="right"/>
              <w:rPr>
                <w:rFonts w:ascii="inherit" w:eastAsia="Times New Roman" w:hAnsi="inherit" w:cs="Times New Roman"/>
              </w:rPr>
            </w:pPr>
            <w:r w:rsidRPr="00177947">
              <w:rPr>
                <w:rFonts w:ascii="inherit" w:eastAsia="Times New Roman" w:hAnsi="inherit" w:cs="Times New Roman"/>
              </w:rPr>
              <w:t>6</w:t>
            </w:r>
          </w:p>
        </w:tc>
      </w:tr>
      <w:tr w:rsidR="005C784E" w:rsidRPr="00177947" w14:paraId="251D6633" w14:textId="77777777" w:rsidTr="00C3222F">
        <w:tc>
          <w:tcPr>
            <w:tcW w:w="8379" w:type="dxa"/>
            <w:gridSpan w:val="2"/>
            <w:tcBorders>
              <w:top w:val="dotted" w:sz="6" w:space="0" w:color="DDDDCC"/>
              <w:left w:val="nil"/>
              <w:bottom w:val="nil"/>
              <w:right w:val="nil"/>
            </w:tcBorders>
            <w:tcMar>
              <w:top w:w="75" w:type="dxa"/>
              <w:left w:w="75" w:type="dxa"/>
              <w:bottom w:w="75" w:type="dxa"/>
              <w:right w:w="75" w:type="dxa"/>
            </w:tcMar>
            <w:hideMark/>
          </w:tcPr>
          <w:p w14:paraId="5043F419" w14:textId="77777777" w:rsidR="005C784E" w:rsidRPr="00177947" w:rsidRDefault="005C784E" w:rsidP="005C784E">
            <w:pPr>
              <w:rPr>
                <w:rFonts w:ascii="inherit" w:eastAsia="Times New Roman" w:hAnsi="inherit" w:cs="Times New Roman"/>
              </w:rPr>
            </w:pPr>
            <w:r w:rsidRPr="00177947">
              <w:rPr>
                <w:rFonts w:ascii="inherit" w:eastAsia="Times New Roman" w:hAnsi="inherit" w:cs="Times New Roman"/>
              </w:rPr>
              <w:t>University elective</w:t>
            </w:r>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59F84935" w14:textId="7EC96E89" w:rsidR="005C784E" w:rsidRPr="00177947" w:rsidRDefault="005C784E" w:rsidP="005C784E">
            <w:pPr>
              <w:jc w:val="right"/>
              <w:rPr>
                <w:rFonts w:ascii="inherit" w:eastAsia="Times New Roman" w:hAnsi="inherit" w:cs="Times New Roman"/>
              </w:rPr>
            </w:pPr>
            <w:r>
              <w:rPr>
                <w:rFonts w:ascii="inherit" w:eastAsia="Times New Roman" w:hAnsi="inherit" w:cs="Times New Roman"/>
              </w:rPr>
              <w:t>6</w:t>
            </w:r>
          </w:p>
        </w:tc>
      </w:tr>
      <w:tr w:rsidR="005C784E" w:rsidRPr="00177947" w14:paraId="2AD48839" w14:textId="77777777" w:rsidTr="00C3222F">
        <w:tc>
          <w:tcPr>
            <w:tcW w:w="0" w:type="auto"/>
            <w:tcBorders>
              <w:top w:val="dotted" w:sz="6" w:space="0" w:color="DDDDCC"/>
              <w:left w:val="nil"/>
              <w:bottom w:val="nil"/>
              <w:right w:val="nil"/>
            </w:tcBorders>
            <w:tcMar>
              <w:top w:w="75" w:type="dxa"/>
              <w:left w:w="75" w:type="dxa"/>
              <w:bottom w:w="75" w:type="dxa"/>
              <w:right w:w="75" w:type="dxa"/>
            </w:tcMar>
            <w:hideMark/>
          </w:tcPr>
          <w:p w14:paraId="73E6743D" w14:textId="77777777" w:rsidR="005C784E" w:rsidRPr="00177947" w:rsidRDefault="005C784E" w:rsidP="005C784E">
            <w:pPr>
              <w:rPr>
                <w:rFonts w:ascii="inherit" w:eastAsia="Times New Roman" w:hAnsi="inherit" w:cs="Times New Roman"/>
                <w:b/>
                <w:bCs/>
              </w:rPr>
            </w:pPr>
            <w:r w:rsidRPr="00177947">
              <w:rPr>
                <w:rFonts w:ascii="inherit" w:eastAsia="Times New Roman" w:hAnsi="inherit" w:cs="Times New Roman"/>
                <w:b/>
                <w:bCs/>
              </w:rPr>
              <w:t> </w:t>
            </w:r>
          </w:p>
        </w:tc>
        <w:tc>
          <w:tcPr>
            <w:tcW w:w="0" w:type="auto"/>
            <w:tcBorders>
              <w:top w:val="dotted" w:sz="6" w:space="0" w:color="DDDDCC"/>
              <w:left w:val="nil"/>
              <w:bottom w:val="nil"/>
              <w:right w:val="nil"/>
            </w:tcBorders>
            <w:tcMar>
              <w:top w:w="75" w:type="dxa"/>
              <w:left w:w="75" w:type="dxa"/>
              <w:bottom w:w="75" w:type="dxa"/>
              <w:right w:w="75" w:type="dxa"/>
            </w:tcMar>
            <w:hideMark/>
          </w:tcPr>
          <w:p w14:paraId="6B062D76" w14:textId="77777777" w:rsidR="005C784E" w:rsidRPr="00177947" w:rsidRDefault="005C784E" w:rsidP="005C784E">
            <w:pPr>
              <w:rPr>
                <w:rFonts w:ascii="inherit" w:eastAsia="Times New Roman" w:hAnsi="inherit" w:cs="Times New Roman"/>
                <w:b/>
                <w:bCs/>
              </w:rPr>
            </w:pPr>
            <w:r w:rsidRPr="00177947">
              <w:rPr>
                <w:rFonts w:ascii="inherit" w:eastAsia="Times New Roman" w:hAnsi="inherit" w:cs="Times New Roman"/>
                <w:b/>
                <w:bCs/>
              </w:rPr>
              <w:t>Units</w:t>
            </w:r>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670AF7E2" w14:textId="0DEF2A43" w:rsidR="005C784E" w:rsidRPr="00177947" w:rsidRDefault="005C784E" w:rsidP="005C784E">
            <w:pPr>
              <w:jc w:val="right"/>
              <w:rPr>
                <w:rFonts w:ascii="inherit" w:eastAsia="Times New Roman" w:hAnsi="inherit" w:cs="Times New Roman"/>
                <w:b/>
                <w:bCs/>
              </w:rPr>
            </w:pPr>
            <w:r w:rsidRPr="00177947">
              <w:rPr>
                <w:rFonts w:ascii="inherit" w:eastAsia="Times New Roman" w:hAnsi="inherit" w:cs="Times New Roman"/>
                <w:b/>
                <w:bCs/>
              </w:rPr>
              <w:t>1</w:t>
            </w:r>
            <w:r>
              <w:rPr>
                <w:rFonts w:ascii="inherit" w:eastAsia="Times New Roman" w:hAnsi="inherit" w:cs="Times New Roman"/>
                <w:b/>
                <w:bCs/>
              </w:rPr>
              <w:t>5</w:t>
            </w:r>
          </w:p>
        </w:tc>
      </w:tr>
      <w:tr w:rsidR="005C784E" w:rsidRPr="00177947" w14:paraId="5B14093F" w14:textId="77777777" w:rsidTr="00C3222F">
        <w:tc>
          <w:tcPr>
            <w:tcW w:w="0" w:type="auto"/>
            <w:tcBorders>
              <w:top w:val="dotted" w:sz="6" w:space="0" w:color="DDDDCC"/>
              <w:left w:val="nil"/>
              <w:bottom w:val="nil"/>
              <w:right w:val="nil"/>
            </w:tcBorders>
            <w:tcMar>
              <w:top w:w="75" w:type="dxa"/>
              <w:left w:w="75" w:type="dxa"/>
              <w:bottom w:w="75" w:type="dxa"/>
              <w:right w:w="75" w:type="dxa"/>
            </w:tcMar>
            <w:hideMark/>
          </w:tcPr>
          <w:p w14:paraId="367AB47F" w14:textId="77777777" w:rsidR="005C784E" w:rsidRPr="00177947" w:rsidRDefault="005C784E" w:rsidP="005C784E">
            <w:pPr>
              <w:rPr>
                <w:rFonts w:ascii="inherit" w:eastAsia="Times New Roman" w:hAnsi="inherit" w:cs="Times New Roman"/>
                <w:b/>
                <w:bCs/>
              </w:rPr>
            </w:pPr>
            <w:r w:rsidRPr="00177947">
              <w:rPr>
                <w:rFonts w:ascii="inherit" w:eastAsia="Times New Roman" w:hAnsi="inherit" w:cs="Times New Roman"/>
                <w:b/>
                <w:bCs/>
              </w:rPr>
              <w:t> </w:t>
            </w:r>
          </w:p>
        </w:tc>
        <w:tc>
          <w:tcPr>
            <w:tcW w:w="0" w:type="auto"/>
            <w:tcBorders>
              <w:top w:val="dotted" w:sz="6" w:space="0" w:color="DDDDCC"/>
              <w:left w:val="nil"/>
              <w:bottom w:val="nil"/>
              <w:right w:val="nil"/>
            </w:tcBorders>
            <w:tcMar>
              <w:top w:w="75" w:type="dxa"/>
              <w:left w:w="75" w:type="dxa"/>
              <w:bottom w:w="75" w:type="dxa"/>
              <w:right w:w="75" w:type="dxa"/>
            </w:tcMar>
            <w:hideMark/>
          </w:tcPr>
          <w:p w14:paraId="1C6B320C" w14:textId="77777777" w:rsidR="005C784E" w:rsidRPr="00177947" w:rsidRDefault="005C784E" w:rsidP="005C784E">
            <w:pPr>
              <w:rPr>
                <w:rFonts w:ascii="inherit" w:eastAsia="Times New Roman" w:hAnsi="inherit" w:cs="Times New Roman"/>
                <w:b/>
                <w:bCs/>
              </w:rPr>
            </w:pPr>
            <w:r w:rsidRPr="00177947">
              <w:rPr>
                <w:rFonts w:ascii="inherit" w:eastAsia="Times New Roman" w:hAnsi="inherit" w:cs="Times New Roman"/>
                <w:b/>
                <w:bCs/>
              </w:rPr>
              <w:t>Total Units</w:t>
            </w:r>
          </w:p>
        </w:tc>
        <w:tc>
          <w:tcPr>
            <w:tcW w:w="1071" w:type="dxa"/>
            <w:tcBorders>
              <w:top w:val="dotted" w:sz="6" w:space="0" w:color="DDDDCC"/>
              <w:left w:val="nil"/>
              <w:bottom w:val="nil"/>
              <w:right w:val="nil"/>
            </w:tcBorders>
            <w:tcMar>
              <w:top w:w="75" w:type="dxa"/>
              <w:left w:w="75" w:type="dxa"/>
              <w:bottom w:w="75" w:type="dxa"/>
              <w:right w:w="75" w:type="dxa"/>
            </w:tcMar>
            <w:vAlign w:val="center"/>
            <w:hideMark/>
          </w:tcPr>
          <w:p w14:paraId="576BBBE4" w14:textId="77777777" w:rsidR="005C784E" w:rsidRPr="00177947" w:rsidRDefault="005C784E" w:rsidP="005C784E">
            <w:pPr>
              <w:jc w:val="right"/>
              <w:rPr>
                <w:rFonts w:ascii="inherit" w:eastAsia="Times New Roman" w:hAnsi="inherit" w:cs="Times New Roman"/>
                <w:b/>
                <w:bCs/>
              </w:rPr>
            </w:pPr>
            <w:r w:rsidRPr="00177947">
              <w:rPr>
                <w:rFonts w:ascii="inherit" w:eastAsia="Times New Roman" w:hAnsi="inherit" w:cs="Times New Roman"/>
                <w:b/>
                <w:bCs/>
              </w:rPr>
              <w:t>60</w:t>
            </w:r>
          </w:p>
        </w:tc>
      </w:tr>
      <w:tr w:rsidR="005C784E" w:rsidRPr="00177947" w14:paraId="46303DA5" w14:textId="77777777" w:rsidTr="00177947">
        <w:tc>
          <w:tcPr>
            <w:tcW w:w="9450" w:type="dxa"/>
            <w:gridSpan w:val="3"/>
            <w:tcBorders>
              <w:top w:val="nil"/>
              <w:left w:val="nil"/>
              <w:bottom w:val="nil"/>
              <w:right w:val="nil"/>
            </w:tcBorders>
            <w:tcMar>
              <w:top w:w="75" w:type="dxa"/>
              <w:left w:w="75" w:type="dxa"/>
              <w:bottom w:w="75" w:type="dxa"/>
              <w:right w:w="75" w:type="dxa"/>
            </w:tcMar>
            <w:vAlign w:val="center"/>
            <w:hideMark/>
          </w:tcPr>
          <w:p w14:paraId="2AB3938C" w14:textId="77777777" w:rsidR="005C784E" w:rsidRPr="00177947" w:rsidRDefault="005C784E" w:rsidP="005C784E">
            <w:pPr>
              <w:textAlignment w:val="baseline"/>
              <w:rPr>
                <w:rFonts w:ascii="inherit" w:eastAsia="Times New Roman" w:hAnsi="inherit" w:cs="Times New Roman"/>
              </w:rPr>
            </w:pPr>
            <w:r w:rsidRPr="00177947">
              <w:rPr>
                <w:rFonts w:ascii="inherit" w:eastAsia="Times New Roman" w:hAnsi="inherit" w:cs="Times New Roman"/>
              </w:rPr>
              <w:t>Plan of Study Grid</w:t>
            </w:r>
          </w:p>
        </w:tc>
      </w:tr>
    </w:tbl>
    <w:p w14:paraId="43B9D056" w14:textId="77777777" w:rsidR="00177947" w:rsidRPr="00177947" w:rsidRDefault="00177947" w:rsidP="00177947">
      <w:pPr>
        <w:textAlignment w:val="baseline"/>
        <w:rPr>
          <w:rFonts w:ascii="inherit" w:eastAsia="Times New Roman" w:hAnsi="inherit" w:cs="Times New Roman"/>
          <w:vanish/>
          <w:color w:val="565656"/>
          <w:sz w:val="21"/>
          <w:szCs w:val="21"/>
        </w:rPr>
      </w:pPr>
    </w:p>
    <w:tbl>
      <w:tblPr>
        <w:tblW w:w="5000" w:type="pct"/>
        <w:tblCellMar>
          <w:left w:w="0" w:type="dxa"/>
          <w:right w:w="0" w:type="dxa"/>
        </w:tblCellMar>
        <w:tblLook w:val="04A0" w:firstRow="1" w:lastRow="0" w:firstColumn="1" w:lastColumn="0" w:noHBand="0" w:noVBand="1"/>
      </w:tblPr>
      <w:tblGrid>
        <w:gridCol w:w="225"/>
        <w:gridCol w:w="9135"/>
      </w:tblGrid>
      <w:tr w:rsidR="00177947" w:rsidRPr="00177947" w14:paraId="19EFF06E" w14:textId="77777777" w:rsidTr="00177947">
        <w:tc>
          <w:tcPr>
            <w:tcW w:w="225" w:type="dxa"/>
            <w:tcBorders>
              <w:top w:val="nil"/>
              <w:left w:val="nil"/>
              <w:bottom w:val="nil"/>
              <w:right w:val="nil"/>
            </w:tcBorders>
            <w:tcMar>
              <w:top w:w="0" w:type="dxa"/>
              <w:left w:w="0" w:type="dxa"/>
              <w:bottom w:w="180" w:type="dxa"/>
              <w:right w:w="0" w:type="dxa"/>
            </w:tcMar>
            <w:hideMark/>
          </w:tcPr>
          <w:p w14:paraId="4A7A5493" w14:textId="77777777" w:rsidR="00177947" w:rsidRPr="00177947" w:rsidRDefault="00177947" w:rsidP="00177947">
            <w:pPr>
              <w:rPr>
                <w:rFonts w:ascii="inherit" w:eastAsia="Times New Roman" w:hAnsi="inherit" w:cs="Times New Roman"/>
                <w:sz w:val="19"/>
                <w:szCs w:val="19"/>
              </w:rPr>
            </w:pPr>
            <w:r w:rsidRPr="00177947">
              <w:rPr>
                <w:rFonts w:ascii="inherit" w:eastAsia="Times New Roman" w:hAnsi="inherit" w:cs="Times New Roman"/>
                <w:sz w:val="15"/>
                <w:szCs w:val="15"/>
                <w:bdr w:val="none" w:sz="0" w:space="0" w:color="auto" w:frame="1"/>
                <w:vertAlign w:val="superscript"/>
              </w:rPr>
              <w:t>1</w:t>
            </w:r>
          </w:p>
        </w:tc>
        <w:tc>
          <w:tcPr>
            <w:tcW w:w="0" w:type="auto"/>
            <w:tcBorders>
              <w:top w:val="nil"/>
              <w:left w:val="nil"/>
              <w:bottom w:val="nil"/>
              <w:right w:val="nil"/>
            </w:tcBorders>
            <w:tcMar>
              <w:top w:w="0" w:type="dxa"/>
              <w:left w:w="0" w:type="dxa"/>
              <w:bottom w:w="180" w:type="dxa"/>
              <w:right w:w="0" w:type="dxa"/>
            </w:tcMar>
            <w:hideMark/>
          </w:tcPr>
          <w:p w14:paraId="520B635E" w14:textId="0306D761" w:rsidR="00177947" w:rsidRPr="00177947" w:rsidRDefault="00177947" w:rsidP="00177947">
            <w:pPr>
              <w:textAlignment w:val="baseline"/>
              <w:rPr>
                <w:rFonts w:ascii="inherit" w:eastAsia="Times New Roman" w:hAnsi="inherit" w:cs="Times New Roman"/>
              </w:rPr>
            </w:pPr>
            <w:hyperlink r:id="rId25" w:tooltip="ENG 214" w:history="1">
              <w:r w:rsidRPr="00177947">
                <w:rPr>
                  <w:rFonts w:ascii="inherit" w:eastAsia="Times New Roman" w:hAnsi="inherit" w:cs="Times New Roman"/>
                  <w:color w:val="666600"/>
                  <w:u w:val="single"/>
                  <w:bdr w:val="none" w:sz="0" w:space="0" w:color="auto" w:frame="1"/>
                </w:rPr>
                <w:t>ENG 214</w:t>
              </w:r>
            </w:hyperlink>
            <w:r w:rsidRPr="00177947">
              <w:rPr>
                <w:rFonts w:ascii="inherit" w:eastAsia="Times New Roman" w:hAnsi="inherit" w:cs="Times New Roman"/>
              </w:rPr>
              <w:t> or equivalent is a prerequisite to </w:t>
            </w:r>
            <w:hyperlink r:id="rId26" w:tooltip="BECA 300GW" w:history="1">
              <w:r w:rsidRPr="00177947">
                <w:rPr>
                  <w:rFonts w:ascii="inherit" w:eastAsia="Times New Roman" w:hAnsi="inherit" w:cs="Times New Roman"/>
                  <w:color w:val="666600"/>
                  <w:u w:val="single"/>
                  <w:bdr w:val="none" w:sz="0" w:space="0" w:color="auto" w:frame="1"/>
                </w:rPr>
                <w:t>BECA 300GW</w:t>
              </w:r>
            </w:hyperlink>
            <w:r w:rsidRPr="00177947">
              <w:rPr>
                <w:rFonts w:ascii="inherit" w:eastAsia="Times New Roman" w:hAnsi="inherit" w:cs="Times New Roman"/>
              </w:rPr>
              <w:t>. Completion of </w:t>
            </w:r>
            <w:hyperlink r:id="rId27" w:tooltip="BECA 200" w:history="1">
              <w:r w:rsidRPr="00177947">
                <w:rPr>
                  <w:rFonts w:ascii="inherit" w:eastAsia="Times New Roman" w:hAnsi="inherit" w:cs="Times New Roman"/>
                  <w:color w:val="666600"/>
                  <w:u w:val="single"/>
                  <w:bdr w:val="none" w:sz="0" w:space="0" w:color="auto" w:frame="1"/>
                </w:rPr>
                <w:t>BECA 200</w:t>
              </w:r>
            </w:hyperlink>
            <w:r w:rsidRPr="00177947">
              <w:rPr>
                <w:rFonts w:ascii="inherit" w:eastAsia="Times New Roman" w:hAnsi="inherit" w:cs="Times New Roman"/>
              </w:rPr>
              <w:t>, </w:t>
            </w:r>
            <w:hyperlink r:id="rId28" w:tooltip="BECA 300GW" w:history="1">
              <w:r w:rsidRPr="00177947">
                <w:rPr>
                  <w:rFonts w:ascii="inherit" w:eastAsia="Times New Roman" w:hAnsi="inherit" w:cs="Times New Roman"/>
                  <w:color w:val="666600"/>
                  <w:u w:val="single"/>
                  <w:bdr w:val="none" w:sz="0" w:space="0" w:color="auto" w:frame="1"/>
                </w:rPr>
                <w:t>BECA 300GW</w:t>
              </w:r>
            </w:hyperlink>
            <w:r w:rsidR="00F77DCF">
              <w:rPr>
                <w:rFonts w:ascii="inherit" w:eastAsia="Times New Roman" w:hAnsi="inherit" w:cs="Times New Roman"/>
                <w:color w:val="666600"/>
                <w:u w:val="single"/>
                <w:bdr w:val="none" w:sz="0" w:space="0" w:color="auto" w:frame="1"/>
              </w:rPr>
              <w:t>,</w:t>
            </w:r>
            <w:hyperlink r:id="rId29" w:history="1">
              <w:r w:rsidR="00F77DCF" w:rsidRPr="00F77DCF">
                <w:rPr>
                  <w:rStyle w:val="Hyperlink"/>
                  <w:rFonts w:ascii="inherit" w:eastAsia="Times New Roman" w:hAnsi="inherit" w:cs="Times New Roman"/>
                  <w:bdr w:val="none" w:sz="0" w:space="0" w:color="auto" w:frame="1"/>
                </w:rPr>
                <w:t xml:space="preserve"> BECA 324</w:t>
              </w:r>
              <w:r w:rsidRPr="00F77DCF">
                <w:rPr>
                  <w:rStyle w:val="Hyperlink"/>
                  <w:rFonts w:ascii="inherit" w:eastAsia="Times New Roman" w:hAnsi="inherit" w:cs="Times New Roman"/>
                </w:rPr>
                <w:t> </w:t>
              </w:r>
            </w:hyperlink>
            <w:r w:rsidRPr="00177947">
              <w:rPr>
                <w:rFonts w:ascii="inherit" w:eastAsia="Times New Roman" w:hAnsi="inherit" w:cs="Times New Roman"/>
              </w:rPr>
              <w:t>and </w:t>
            </w:r>
            <w:hyperlink r:id="rId30" w:tooltip="BECA 340" w:history="1">
              <w:r w:rsidRPr="00177947">
                <w:rPr>
                  <w:rFonts w:ascii="inherit" w:eastAsia="Times New Roman" w:hAnsi="inherit" w:cs="Times New Roman"/>
                  <w:color w:val="666600"/>
                  <w:u w:val="single"/>
                  <w:bdr w:val="none" w:sz="0" w:space="0" w:color="auto" w:frame="1"/>
                </w:rPr>
                <w:t>BECA 340</w:t>
              </w:r>
            </w:hyperlink>
            <w:r w:rsidRPr="00177947">
              <w:rPr>
                <w:rFonts w:ascii="inherit" w:eastAsia="Times New Roman" w:hAnsi="inherit" w:cs="Times New Roman"/>
              </w:rPr>
              <w:t> with a grade of C or better is required for enrollment many advanced BECA classes. Progress in the major and length of time for degree completion will be impacted if an </w:t>
            </w:r>
            <w:hyperlink r:id="rId31" w:tooltip="ENG 214" w:history="1">
              <w:r w:rsidRPr="00177947">
                <w:rPr>
                  <w:rFonts w:ascii="inherit" w:eastAsia="Times New Roman" w:hAnsi="inherit" w:cs="Times New Roman"/>
                  <w:color w:val="666600"/>
                  <w:u w:val="single"/>
                  <w:bdr w:val="none" w:sz="0" w:space="0" w:color="auto" w:frame="1"/>
                </w:rPr>
                <w:t>ENG 214</w:t>
              </w:r>
            </w:hyperlink>
            <w:r w:rsidRPr="00177947">
              <w:rPr>
                <w:rFonts w:ascii="inherit" w:eastAsia="Times New Roman" w:hAnsi="inherit" w:cs="Times New Roman"/>
              </w:rPr>
              <w:t>-equivalent course is not completed </w:t>
            </w:r>
            <w:r w:rsidRPr="00177947">
              <w:rPr>
                <w:rFonts w:ascii="inherit" w:eastAsia="Times New Roman" w:hAnsi="inherit" w:cs="Times New Roman"/>
                <w:u w:val="single"/>
                <w:bdr w:val="none" w:sz="0" w:space="0" w:color="auto" w:frame="1"/>
              </w:rPr>
              <w:t>before</w:t>
            </w:r>
            <w:r w:rsidRPr="00177947">
              <w:rPr>
                <w:rFonts w:ascii="inherit" w:eastAsia="Times New Roman" w:hAnsi="inherit" w:cs="Times New Roman"/>
              </w:rPr>
              <w:t> transfer. Students who need to take </w:t>
            </w:r>
            <w:hyperlink r:id="rId32" w:tooltip="ENG 214" w:history="1">
              <w:r w:rsidRPr="00177947">
                <w:rPr>
                  <w:rFonts w:ascii="inherit" w:eastAsia="Times New Roman" w:hAnsi="inherit" w:cs="Times New Roman"/>
                  <w:color w:val="666600"/>
                  <w:u w:val="single"/>
                  <w:bdr w:val="none" w:sz="0" w:space="0" w:color="auto" w:frame="1"/>
                </w:rPr>
                <w:t>ENG 214</w:t>
              </w:r>
            </w:hyperlink>
            <w:r w:rsidRPr="00177947">
              <w:rPr>
                <w:rFonts w:ascii="inherit" w:eastAsia="Times New Roman" w:hAnsi="inherit" w:cs="Times New Roman"/>
              </w:rPr>
              <w:t> will not be able to enroll in </w:t>
            </w:r>
            <w:hyperlink r:id="rId33" w:tooltip="BECA 300GW" w:history="1">
              <w:r w:rsidRPr="00177947">
                <w:rPr>
                  <w:rFonts w:ascii="inherit" w:eastAsia="Times New Roman" w:hAnsi="inherit" w:cs="Times New Roman"/>
                  <w:color w:val="666600"/>
                  <w:u w:val="single"/>
                  <w:bdr w:val="none" w:sz="0" w:space="0" w:color="auto" w:frame="1"/>
                </w:rPr>
                <w:t>BECA 300GW</w:t>
              </w:r>
            </w:hyperlink>
            <w:r w:rsidRPr="00177947">
              <w:rPr>
                <w:rFonts w:ascii="inherit" w:eastAsia="Times New Roman" w:hAnsi="inherit" w:cs="Times New Roman"/>
              </w:rPr>
              <w:t>, </w:t>
            </w:r>
            <w:hyperlink r:id="rId34" w:tooltip="BECA 340" w:history="1">
              <w:r w:rsidRPr="00177947">
                <w:rPr>
                  <w:rFonts w:ascii="inherit" w:eastAsia="Times New Roman" w:hAnsi="inherit" w:cs="Times New Roman"/>
                  <w:color w:val="666600"/>
                  <w:u w:val="single"/>
                  <w:bdr w:val="none" w:sz="0" w:space="0" w:color="auto" w:frame="1"/>
                </w:rPr>
                <w:t>BECA 340</w:t>
              </w:r>
            </w:hyperlink>
            <w:r w:rsidRPr="00177947">
              <w:rPr>
                <w:rFonts w:ascii="inherit" w:eastAsia="Times New Roman" w:hAnsi="inherit" w:cs="Times New Roman"/>
              </w:rPr>
              <w:t>, or other upper division BECA courses in the first semester, and are advised to focus on completion of upper division GE instead.</w:t>
            </w:r>
          </w:p>
        </w:tc>
      </w:tr>
    </w:tbl>
    <w:p w14:paraId="24E7794A" w14:textId="77777777" w:rsidR="00177947" w:rsidRPr="00177947" w:rsidRDefault="00177947" w:rsidP="00177947">
      <w:pPr>
        <w:spacing w:before="300" w:after="150"/>
        <w:textAlignment w:val="baseline"/>
        <w:outlineLvl w:val="1"/>
        <w:rPr>
          <w:rFonts w:ascii="inherit" w:eastAsia="Times New Roman" w:hAnsi="inherit" w:cs="Times New Roman"/>
          <w:b/>
          <w:bCs/>
          <w:color w:val="886600"/>
          <w:sz w:val="32"/>
          <w:szCs w:val="32"/>
        </w:rPr>
      </w:pPr>
      <w:r w:rsidRPr="00177947">
        <w:rPr>
          <w:rFonts w:ascii="inherit" w:eastAsia="Times New Roman" w:hAnsi="inherit" w:cs="Times New Roman"/>
          <w:b/>
          <w:bCs/>
          <w:color w:val="886600"/>
          <w:sz w:val="32"/>
          <w:szCs w:val="32"/>
        </w:rPr>
        <w:t>To Do at SF State:</w:t>
      </w:r>
    </w:p>
    <w:p w14:paraId="5F24D0BE" w14:textId="77777777" w:rsidR="00177947" w:rsidRPr="00177947" w:rsidRDefault="00177947" w:rsidP="00177947">
      <w:pPr>
        <w:spacing w:after="240"/>
        <w:textAlignment w:val="baseline"/>
        <w:rPr>
          <w:rFonts w:ascii="inherit" w:eastAsia="Times New Roman" w:hAnsi="inherit" w:cs="Times New Roman"/>
          <w:color w:val="565656"/>
          <w:sz w:val="21"/>
          <w:szCs w:val="21"/>
        </w:rPr>
      </w:pPr>
      <w:r w:rsidRPr="00177947">
        <w:rPr>
          <w:rFonts w:ascii="inherit" w:eastAsia="Times New Roman" w:hAnsi="inherit" w:cs="Times New Roman"/>
          <w:color w:val="565656"/>
          <w:sz w:val="21"/>
          <w:szCs w:val="21"/>
        </w:rPr>
        <w:t>Enough total units to reach 120 minimum for graduation; 40 units minimum at the upper division level; to include the following:</w:t>
      </w:r>
    </w:p>
    <w:p w14:paraId="2268E018" w14:textId="77777777" w:rsidR="00177947" w:rsidRPr="00177947" w:rsidRDefault="00177947" w:rsidP="00177947">
      <w:pPr>
        <w:spacing w:before="300" w:after="150"/>
        <w:textAlignment w:val="baseline"/>
        <w:outlineLvl w:val="2"/>
        <w:rPr>
          <w:rFonts w:ascii="inherit" w:eastAsia="Times New Roman" w:hAnsi="inherit" w:cs="Times New Roman"/>
          <w:b/>
          <w:bCs/>
          <w:color w:val="464666"/>
          <w:sz w:val="29"/>
          <w:szCs w:val="29"/>
        </w:rPr>
      </w:pPr>
      <w:r w:rsidRPr="00177947">
        <w:rPr>
          <w:rFonts w:ascii="inherit" w:eastAsia="Times New Roman" w:hAnsi="inherit" w:cs="Times New Roman"/>
          <w:b/>
          <w:bCs/>
          <w:color w:val="464666"/>
          <w:sz w:val="29"/>
          <w:szCs w:val="29"/>
        </w:rPr>
        <w:t>University-Wide Requirements: 6–18 Units</w:t>
      </w:r>
    </w:p>
    <w:p w14:paraId="2C69AEBE" w14:textId="77777777" w:rsidR="00177947" w:rsidRPr="00177947" w:rsidRDefault="00177947" w:rsidP="00177947">
      <w:pPr>
        <w:numPr>
          <w:ilvl w:val="0"/>
          <w:numId w:val="1"/>
        </w:numPr>
        <w:ind w:left="375"/>
        <w:textAlignment w:val="baseline"/>
        <w:rPr>
          <w:rFonts w:ascii="inherit" w:eastAsia="Times New Roman" w:hAnsi="inherit" w:cs="Times New Roman"/>
          <w:color w:val="565656"/>
          <w:sz w:val="21"/>
          <w:szCs w:val="21"/>
        </w:rPr>
      </w:pPr>
      <w:hyperlink r:id="rId35" w:tooltip="ENG 214" w:history="1">
        <w:r w:rsidRPr="00177947">
          <w:rPr>
            <w:rFonts w:ascii="inherit" w:eastAsia="Times New Roman" w:hAnsi="inherit" w:cs="Times New Roman"/>
            <w:color w:val="666600"/>
            <w:sz w:val="21"/>
            <w:szCs w:val="21"/>
            <w:u w:val="single"/>
            <w:bdr w:val="none" w:sz="0" w:space="0" w:color="auto" w:frame="1"/>
          </w:rPr>
          <w:t>ENG 214</w:t>
        </w:r>
      </w:hyperlink>
      <w:r w:rsidRPr="00177947">
        <w:rPr>
          <w:rFonts w:ascii="inherit" w:eastAsia="Times New Roman" w:hAnsi="inherit" w:cs="Times New Roman"/>
          <w:color w:val="565656"/>
          <w:sz w:val="21"/>
          <w:szCs w:val="21"/>
        </w:rPr>
        <w:t> or equivalent A4 course (0–3 units) if not taken before transfer.</w:t>
      </w:r>
    </w:p>
    <w:p w14:paraId="6D618770" w14:textId="77777777" w:rsidR="00177947" w:rsidRPr="00177947" w:rsidRDefault="00177947" w:rsidP="00177947">
      <w:pPr>
        <w:numPr>
          <w:ilvl w:val="0"/>
          <w:numId w:val="1"/>
        </w:numPr>
        <w:spacing w:after="180"/>
        <w:ind w:left="375"/>
        <w:textAlignment w:val="baseline"/>
        <w:rPr>
          <w:rFonts w:ascii="inherit" w:eastAsia="Times New Roman" w:hAnsi="inherit" w:cs="Times New Roman"/>
          <w:color w:val="565656"/>
          <w:sz w:val="21"/>
          <w:szCs w:val="21"/>
        </w:rPr>
      </w:pPr>
      <w:r w:rsidRPr="00177947">
        <w:rPr>
          <w:rFonts w:ascii="inherit" w:eastAsia="Times New Roman" w:hAnsi="inherit" w:cs="Times New Roman"/>
          <w:color w:val="565656"/>
          <w:sz w:val="21"/>
          <w:szCs w:val="21"/>
        </w:rPr>
        <w:t>American Institutions (6 units): US History, US Government, California State and Local Government requirements if not taken before transfer.</w:t>
      </w:r>
    </w:p>
    <w:p w14:paraId="5195BA6A" w14:textId="77777777" w:rsidR="00177947" w:rsidRPr="00177947" w:rsidRDefault="00177947" w:rsidP="00177947">
      <w:pPr>
        <w:numPr>
          <w:ilvl w:val="1"/>
          <w:numId w:val="1"/>
        </w:numPr>
        <w:spacing w:before="84" w:after="180"/>
        <w:ind w:left="750"/>
        <w:textAlignment w:val="baseline"/>
        <w:rPr>
          <w:rFonts w:ascii="inherit" w:eastAsia="Times New Roman" w:hAnsi="inherit" w:cs="Times New Roman"/>
          <w:color w:val="565656"/>
          <w:sz w:val="21"/>
          <w:szCs w:val="21"/>
        </w:rPr>
      </w:pPr>
      <w:r w:rsidRPr="00177947">
        <w:rPr>
          <w:rFonts w:ascii="inherit" w:eastAsia="Times New Roman" w:hAnsi="inherit" w:cs="Times New Roman"/>
          <w:color w:val="565656"/>
          <w:sz w:val="21"/>
          <w:szCs w:val="21"/>
        </w:rPr>
        <w:t>Upper division GE, areas B, C and D (9 units): Check for UD GE courses that satisfy both Major and American Institutions requirements.</w:t>
      </w:r>
    </w:p>
    <w:p w14:paraId="781D4F8B" w14:textId="77777777" w:rsidR="00177947" w:rsidRPr="00177947" w:rsidRDefault="00177947" w:rsidP="00177947">
      <w:pPr>
        <w:numPr>
          <w:ilvl w:val="0"/>
          <w:numId w:val="1"/>
        </w:numPr>
        <w:spacing w:after="180"/>
        <w:ind w:left="375"/>
        <w:textAlignment w:val="baseline"/>
        <w:rPr>
          <w:rFonts w:ascii="inherit" w:eastAsia="Times New Roman" w:hAnsi="inherit" w:cs="Times New Roman"/>
          <w:color w:val="565656"/>
          <w:sz w:val="21"/>
          <w:szCs w:val="21"/>
        </w:rPr>
      </w:pPr>
      <w:r w:rsidRPr="00177947">
        <w:rPr>
          <w:rFonts w:ascii="inherit" w:eastAsia="Times New Roman" w:hAnsi="inherit" w:cs="Times New Roman"/>
          <w:color w:val="565656"/>
          <w:sz w:val="21"/>
          <w:szCs w:val="21"/>
        </w:rPr>
        <w:t>Students entering this major with the AS-T in Film, Television, Video and Electronic Media are not required to fulfill SF State Studies requirements.</w:t>
      </w:r>
    </w:p>
    <w:p w14:paraId="17817BF0" w14:textId="77777777" w:rsidR="00177947" w:rsidRPr="00177947" w:rsidRDefault="00177947" w:rsidP="00177947">
      <w:pPr>
        <w:numPr>
          <w:ilvl w:val="0"/>
          <w:numId w:val="1"/>
        </w:numPr>
        <w:spacing w:after="180"/>
        <w:ind w:left="375"/>
        <w:textAlignment w:val="baseline"/>
        <w:rPr>
          <w:rFonts w:ascii="inherit" w:eastAsia="Times New Roman" w:hAnsi="inherit" w:cs="Times New Roman"/>
          <w:color w:val="565656"/>
          <w:sz w:val="21"/>
          <w:szCs w:val="21"/>
        </w:rPr>
      </w:pPr>
      <w:r w:rsidRPr="00177947">
        <w:rPr>
          <w:rFonts w:ascii="inherit" w:eastAsia="Times New Roman" w:hAnsi="inherit" w:cs="Times New Roman"/>
          <w:color w:val="565656"/>
          <w:sz w:val="21"/>
          <w:szCs w:val="21"/>
        </w:rPr>
        <w:t>Complementary Studies: consult with a department advisor on how transfer units and/or SF State units can best be applied to this requirement in order to ensure degree completion within 60 units.</w:t>
      </w:r>
    </w:p>
    <w:p w14:paraId="5D7C6427" w14:textId="111C4EC2" w:rsidR="00177947" w:rsidRPr="00177947" w:rsidRDefault="00177947" w:rsidP="00177947">
      <w:pPr>
        <w:spacing w:before="300" w:after="150"/>
        <w:textAlignment w:val="baseline"/>
        <w:outlineLvl w:val="2"/>
        <w:rPr>
          <w:rFonts w:ascii="inherit" w:eastAsia="Times New Roman" w:hAnsi="inherit" w:cs="Times New Roman"/>
          <w:b/>
          <w:bCs/>
          <w:color w:val="464666"/>
          <w:sz w:val="29"/>
          <w:szCs w:val="29"/>
        </w:rPr>
      </w:pPr>
      <w:r w:rsidRPr="00177947">
        <w:rPr>
          <w:rFonts w:ascii="inherit" w:eastAsia="Times New Roman" w:hAnsi="inherit" w:cs="Times New Roman"/>
          <w:b/>
          <w:bCs/>
          <w:color w:val="464666"/>
          <w:sz w:val="29"/>
          <w:szCs w:val="29"/>
        </w:rPr>
        <w:lastRenderedPageBreak/>
        <w:t xml:space="preserve">BECA Major: </w:t>
      </w:r>
      <w:r w:rsidR="00F77DCF">
        <w:rPr>
          <w:rFonts w:ascii="inherit" w:eastAsia="Times New Roman" w:hAnsi="inherit" w:cs="Times New Roman"/>
          <w:b/>
          <w:bCs/>
          <w:color w:val="464666"/>
          <w:sz w:val="29"/>
          <w:szCs w:val="29"/>
        </w:rPr>
        <w:t>30</w:t>
      </w:r>
      <w:r w:rsidRPr="00177947">
        <w:rPr>
          <w:rFonts w:ascii="inherit" w:eastAsia="Times New Roman" w:hAnsi="inherit" w:cs="Times New Roman"/>
          <w:b/>
          <w:bCs/>
          <w:color w:val="464666"/>
          <w:sz w:val="29"/>
          <w:szCs w:val="29"/>
        </w:rPr>
        <w:t>–3</w:t>
      </w:r>
      <w:r w:rsidR="00F77DCF">
        <w:rPr>
          <w:rFonts w:ascii="inherit" w:eastAsia="Times New Roman" w:hAnsi="inherit" w:cs="Times New Roman"/>
          <w:b/>
          <w:bCs/>
          <w:color w:val="464666"/>
          <w:sz w:val="29"/>
          <w:szCs w:val="29"/>
        </w:rPr>
        <w:t>6</w:t>
      </w:r>
      <w:r w:rsidRPr="00177947">
        <w:rPr>
          <w:rFonts w:ascii="inherit" w:eastAsia="Times New Roman" w:hAnsi="inherit" w:cs="Times New Roman"/>
          <w:b/>
          <w:bCs/>
          <w:color w:val="464666"/>
          <w:sz w:val="29"/>
          <w:szCs w:val="29"/>
        </w:rPr>
        <w:t xml:space="preserve"> Units</w:t>
      </w:r>
    </w:p>
    <w:p w14:paraId="081B0E54" w14:textId="7FE3A41E" w:rsidR="00177947" w:rsidRPr="00177947" w:rsidRDefault="00177947" w:rsidP="00177947">
      <w:pPr>
        <w:textAlignment w:val="baseline"/>
        <w:rPr>
          <w:rFonts w:ascii="inherit" w:eastAsia="Times New Roman" w:hAnsi="inherit" w:cs="Times New Roman"/>
          <w:color w:val="565656"/>
          <w:sz w:val="21"/>
          <w:szCs w:val="21"/>
        </w:rPr>
      </w:pPr>
      <w:hyperlink r:id="rId36" w:tooltip="BECA 200" w:history="1">
        <w:r w:rsidRPr="00177947">
          <w:rPr>
            <w:rFonts w:ascii="inherit" w:eastAsia="Times New Roman" w:hAnsi="inherit" w:cs="Times New Roman"/>
            <w:b/>
            <w:bCs/>
            <w:color w:val="666600"/>
            <w:sz w:val="21"/>
            <w:szCs w:val="21"/>
            <w:u w:val="single"/>
            <w:bdr w:val="none" w:sz="0" w:space="0" w:color="auto" w:frame="1"/>
          </w:rPr>
          <w:t>BECA 200</w:t>
        </w:r>
      </w:hyperlink>
      <w:r w:rsidR="00C3222F">
        <w:rPr>
          <w:rFonts w:ascii="inherit" w:eastAsia="Times New Roman" w:hAnsi="inherit" w:cs="Times New Roman"/>
          <w:b/>
          <w:bCs/>
          <w:color w:val="565656"/>
          <w:sz w:val="21"/>
          <w:szCs w:val="21"/>
          <w:bdr w:val="none" w:sz="0" w:space="0" w:color="auto" w:frame="1"/>
        </w:rPr>
        <w:t xml:space="preserve"> and</w:t>
      </w:r>
      <w:r w:rsidRPr="00177947">
        <w:rPr>
          <w:rFonts w:ascii="inherit" w:eastAsia="Times New Roman" w:hAnsi="inherit" w:cs="Times New Roman"/>
          <w:b/>
          <w:bCs/>
          <w:color w:val="565656"/>
          <w:sz w:val="21"/>
          <w:szCs w:val="21"/>
          <w:bdr w:val="none" w:sz="0" w:space="0" w:color="auto" w:frame="1"/>
        </w:rPr>
        <w:t> </w:t>
      </w:r>
      <w:hyperlink r:id="rId37" w:tooltip="BECA 230" w:history="1">
        <w:r w:rsidRPr="00177947">
          <w:rPr>
            <w:rFonts w:ascii="inherit" w:eastAsia="Times New Roman" w:hAnsi="inherit" w:cs="Times New Roman"/>
            <w:b/>
            <w:bCs/>
            <w:color w:val="666600"/>
            <w:sz w:val="21"/>
            <w:szCs w:val="21"/>
            <w:u w:val="single"/>
            <w:bdr w:val="none" w:sz="0" w:space="0" w:color="auto" w:frame="1"/>
          </w:rPr>
          <w:t>BECA 23</w:t>
        </w:r>
        <w:r w:rsidR="00F77DCF">
          <w:rPr>
            <w:rFonts w:ascii="inherit" w:eastAsia="Times New Roman" w:hAnsi="inherit" w:cs="Times New Roman"/>
            <w:b/>
            <w:bCs/>
            <w:color w:val="666600"/>
            <w:sz w:val="21"/>
            <w:szCs w:val="21"/>
            <w:u w:val="single"/>
            <w:bdr w:val="none" w:sz="0" w:space="0" w:color="auto" w:frame="1"/>
          </w:rPr>
          <w:t>1</w:t>
        </w:r>
      </w:hyperlink>
      <w:r w:rsidR="00C3222F">
        <w:rPr>
          <w:rFonts w:ascii="inherit" w:eastAsia="Times New Roman" w:hAnsi="inherit" w:cs="Times New Roman"/>
          <w:b/>
          <w:bCs/>
          <w:color w:val="565656"/>
          <w:sz w:val="21"/>
          <w:szCs w:val="21"/>
          <w:bdr w:val="none" w:sz="0" w:space="0" w:color="auto" w:frame="1"/>
        </w:rPr>
        <w:t>, 24</w:t>
      </w:r>
      <w:r w:rsidR="00F77DCF">
        <w:rPr>
          <w:rFonts w:ascii="inherit" w:eastAsia="Times New Roman" w:hAnsi="inherit" w:cs="Times New Roman"/>
          <w:b/>
          <w:bCs/>
          <w:color w:val="565656"/>
          <w:sz w:val="21"/>
          <w:szCs w:val="21"/>
          <w:bdr w:val="none" w:sz="0" w:space="0" w:color="auto" w:frame="1"/>
        </w:rPr>
        <w:t>1</w:t>
      </w:r>
      <w:r w:rsidR="00C3222F">
        <w:rPr>
          <w:rFonts w:ascii="inherit" w:eastAsia="Times New Roman" w:hAnsi="inherit" w:cs="Times New Roman"/>
          <w:b/>
          <w:bCs/>
          <w:color w:val="565656"/>
          <w:sz w:val="21"/>
          <w:szCs w:val="21"/>
          <w:bdr w:val="none" w:sz="0" w:space="0" w:color="auto" w:frame="1"/>
        </w:rPr>
        <w:t xml:space="preserve">, or 246 </w:t>
      </w:r>
      <w:r w:rsidRPr="00177947">
        <w:rPr>
          <w:rFonts w:ascii="inherit" w:eastAsia="Times New Roman" w:hAnsi="inherit" w:cs="Times New Roman"/>
          <w:b/>
          <w:bCs/>
          <w:color w:val="565656"/>
          <w:sz w:val="21"/>
          <w:szCs w:val="21"/>
          <w:bdr w:val="none" w:sz="0" w:space="0" w:color="auto" w:frame="1"/>
        </w:rPr>
        <w:t>may have been completed.</w:t>
      </w:r>
    </w:p>
    <w:p w14:paraId="11015E0C" w14:textId="2BA928D9" w:rsidR="00177947" w:rsidRPr="00177947" w:rsidRDefault="00177947" w:rsidP="00177947">
      <w:pPr>
        <w:numPr>
          <w:ilvl w:val="0"/>
          <w:numId w:val="2"/>
        </w:numPr>
        <w:spacing w:after="180"/>
        <w:ind w:left="375"/>
        <w:textAlignment w:val="baseline"/>
        <w:rPr>
          <w:rFonts w:ascii="inherit" w:eastAsia="Times New Roman" w:hAnsi="inherit" w:cs="Times New Roman"/>
          <w:color w:val="565656"/>
          <w:sz w:val="21"/>
          <w:szCs w:val="21"/>
        </w:rPr>
      </w:pPr>
      <w:r w:rsidRPr="00177947">
        <w:rPr>
          <w:rFonts w:ascii="inherit" w:eastAsia="Times New Roman" w:hAnsi="inherit" w:cs="Times New Roman"/>
          <w:color w:val="565656"/>
          <w:sz w:val="21"/>
          <w:szCs w:val="21"/>
        </w:rPr>
        <w:t>Core (</w:t>
      </w:r>
      <w:r w:rsidR="00F77DCF">
        <w:rPr>
          <w:rFonts w:ascii="inherit" w:eastAsia="Times New Roman" w:hAnsi="inherit" w:cs="Times New Roman"/>
          <w:color w:val="565656"/>
          <w:sz w:val="21"/>
          <w:szCs w:val="21"/>
        </w:rPr>
        <w:t>9-12</w:t>
      </w:r>
      <w:r w:rsidRPr="00177947">
        <w:rPr>
          <w:rFonts w:ascii="inherit" w:eastAsia="Times New Roman" w:hAnsi="inherit" w:cs="Times New Roman"/>
          <w:color w:val="565656"/>
          <w:sz w:val="21"/>
          <w:szCs w:val="21"/>
        </w:rPr>
        <w:t xml:space="preserve"> units)</w:t>
      </w:r>
    </w:p>
    <w:p w14:paraId="7C81A84E" w14:textId="585C49B1" w:rsidR="00177947" w:rsidRPr="00177947" w:rsidRDefault="00177947" w:rsidP="00177947">
      <w:pPr>
        <w:numPr>
          <w:ilvl w:val="0"/>
          <w:numId w:val="2"/>
        </w:numPr>
        <w:spacing w:after="180"/>
        <w:ind w:left="375"/>
        <w:textAlignment w:val="baseline"/>
        <w:rPr>
          <w:rFonts w:ascii="inherit" w:eastAsia="Times New Roman" w:hAnsi="inherit" w:cs="Times New Roman"/>
          <w:color w:val="565656"/>
          <w:sz w:val="21"/>
          <w:szCs w:val="21"/>
        </w:rPr>
      </w:pPr>
      <w:r w:rsidRPr="00177947">
        <w:rPr>
          <w:rFonts w:ascii="inherit" w:eastAsia="Times New Roman" w:hAnsi="inherit" w:cs="Times New Roman"/>
          <w:color w:val="565656"/>
          <w:sz w:val="21"/>
          <w:szCs w:val="21"/>
        </w:rPr>
        <w:t>Foundation (</w:t>
      </w:r>
      <w:r w:rsidR="00F77DCF">
        <w:rPr>
          <w:rFonts w:ascii="inherit" w:eastAsia="Times New Roman" w:hAnsi="inherit" w:cs="Times New Roman"/>
          <w:color w:val="565656"/>
          <w:sz w:val="21"/>
          <w:szCs w:val="21"/>
        </w:rPr>
        <w:t>6-9</w:t>
      </w:r>
      <w:r w:rsidRPr="00177947">
        <w:rPr>
          <w:rFonts w:ascii="inherit" w:eastAsia="Times New Roman" w:hAnsi="inherit" w:cs="Times New Roman"/>
          <w:color w:val="565656"/>
          <w:sz w:val="21"/>
          <w:szCs w:val="21"/>
        </w:rPr>
        <w:t xml:space="preserve"> units</w:t>
      </w:r>
      <w:r w:rsidR="00C3222F">
        <w:rPr>
          <w:rFonts w:ascii="inherit" w:eastAsia="Times New Roman" w:hAnsi="inherit" w:cs="Times New Roman"/>
          <w:color w:val="565656"/>
          <w:sz w:val="21"/>
          <w:szCs w:val="21"/>
        </w:rPr>
        <w:t>)</w:t>
      </w:r>
    </w:p>
    <w:p w14:paraId="1522B026" w14:textId="11D61872" w:rsidR="00177947" w:rsidRPr="00177947" w:rsidRDefault="00177947" w:rsidP="00177947">
      <w:pPr>
        <w:numPr>
          <w:ilvl w:val="0"/>
          <w:numId w:val="2"/>
        </w:numPr>
        <w:spacing w:after="180"/>
        <w:ind w:left="375"/>
        <w:textAlignment w:val="baseline"/>
        <w:rPr>
          <w:rFonts w:ascii="inherit" w:eastAsia="Times New Roman" w:hAnsi="inherit" w:cs="Times New Roman"/>
          <w:color w:val="565656"/>
          <w:sz w:val="21"/>
          <w:szCs w:val="21"/>
        </w:rPr>
      </w:pPr>
      <w:r w:rsidRPr="00177947">
        <w:rPr>
          <w:rFonts w:ascii="inherit" w:eastAsia="Times New Roman" w:hAnsi="inherit" w:cs="Times New Roman"/>
          <w:color w:val="565656"/>
          <w:sz w:val="21"/>
          <w:szCs w:val="21"/>
        </w:rPr>
        <w:t>Electives (</w:t>
      </w:r>
      <w:r w:rsidR="00F77DCF">
        <w:rPr>
          <w:rFonts w:ascii="inherit" w:eastAsia="Times New Roman" w:hAnsi="inherit" w:cs="Times New Roman"/>
          <w:color w:val="565656"/>
          <w:sz w:val="21"/>
          <w:szCs w:val="21"/>
        </w:rPr>
        <w:t>15</w:t>
      </w:r>
      <w:r w:rsidRPr="00177947">
        <w:rPr>
          <w:rFonts w:ascii="inherit" w:eastAsia="Times New Roman" w:hAnsi="inherit" w:cs="Times New Roman"/>
          <w:color w:val="565656"/>
          <w:sz w:val="21"/>
          <w:szCs w:val="21"/>
        </w:rPr>
        <w:t xml:space="preserve"> units): Must be upper division courses; approval of BECA faculty advisor required.</w:t>
      </w:r>
    </w:p>
    <w:p w14:paraId="6ECC665D" w14:textId="77777777" w:rsidR="00177947" w:rsidRPr="00177947" w:rsidRDefault="00177947" w:rsidP="00177947">
      <w:pPr>
        <w:spacing w:before="300" w:after="150"/>
        <w:textAlignment w:val="baseline"/>
        <w:outlineLvl w:val="2"/>
        <w:rPr>
          <w:rFonts w:ascii="inherit" w:eastAsia="Times New Roman" w:hAnsi="inherit" w:cs="Times New Roman"/>
          <w:b/>
          <w:bCs/>
          <w:color w:val="464666"/>
          <w:sz w:val="29"/>
          <w:szCs w:val="29"/>
        </w:rPr>
      </w:pPr>
      <w:r w:rsidRPr="00177947">
        <w:rPr>
          <w:rFonts w:ascii="inherit" w:eastAsia="Times New Roman" w:hAnsi="inherit" w:cs="Times New Roman"/>
          <w:b/>
          <w:bCs/>
          <w:color w:val="464666"/>
          <w:sz w:val="29"/>
          <w:szCs w:val="29"/>
        </w:rPr>
        <w:t>University Electives: Two or More Units</w:t>
      </w:r>
    </w:p>
    <w:p w14:paraId="327FDF58" w14:textId="77777777" w:rsidR="00177947" w:rsidRPr="00177947" w:rsidRDefault="00177947" w:rsidP="00177947">
      <w:pPr>
        <w:spacing w:after="240"/>
        <w:textAlignment w:val="baseline"/>
        <w:rPr>
          <w:rFonts w:ascii="inherit" w:eastAsia="Times New Roman" w:hAnsi="inherit" w:cs="Times New Roman"/>
          <w:color w:val="565656"/>
          <w:sz w:val="21"/>
          <w:szCs w:val="21"/>
        </w:rPr>
      </w:pPr>
      <w:r w:rsidRPr="00177947">
        <w:rPr>
          <w:rFonts w:ascii="inherit" w:eastAsia="Times New Roman" w:hAnsi="inherit" w:cs="Times New Roman"/>
          <w:color w:val="565656"/>
          <w:sz w:val="21"/>
          <w:szCs w:val="21"/>
        </w:rPr>
        <w:t>Units depending on course choices made at the community college, how transferred units are applied to the requirements above, and course choices at SF State. Some courses may meet more than one requirement, e.g., in both UD GE and the major.</w:t>
      </w:r>
    </w:p>
    <w:p w14:paraId="67F363A1" w14:textId="77777777" w:rsidR="005C784E" w:rsidRDefault="005C784E"/>
    <w:sectPr w:rsidR="000B2E8F" w:rsidSect="00653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F2052"/>
    <w:multiLevelType w:val="multilevel"/>
    <w:tmpl w:val="51B6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5811E7"/>
    <w:multiLevelType w:val="multilevel"/>
    <w:tmpl w:val="0096B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4722355">
    <w:abstractNumId w:val="1"/>
  </w:num>
  <w:num w:numId="2" w16cid:durableId="51630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47"/>
    <w:rsid w:val="00177947"/>
    <w:rsid w:val="003D3DB9"/>
    <w:rsid w:val="00566683"/>
    <w:rsid w:val="0059680C"/>
    <w:rsid w:val="005C784E"/>
    <w:rsid w:val="00653C80"/>
    <w:rsid w:val="00951BFD"/>
    <w:rsid w:val="00BF696D"/>
    <w:rsid w:val="00C3222F"/>
    <w:rsid w:val="00EC0459"/>
    <w:rsid w:val="00EC6134"/>
    <w:rsid w:val="00F77DCF"/>
    <w:rsid w:val="00FD2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9CD51E"/>
  <w15:chartTrackingRefBased/>
  <w15:docId w15:val="{AE4DA5E1-5D4A-BE47-B8DF-34DB5A83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7794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7794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794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4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779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794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77947"/>
    <w:pPr>
      <w:spacing w:before="100" w:beforeAutospacing="1" w:after="100" w:afterAutospacing="1"/>
    </w:pPr>
    <w:rPr>
      <w:rFonts w:ascii="Times New Roman" w:eastAsia="Times New Roman" w:hAnsi="Times New Roman" w:cs="Times New Roman"/>
    </w:rPr>
  </w:style>
  <w:style w:type="character" w:customStyle="1" w:styleId="sccourseinline">
    <w:name w:val="sc_courseinline"/>
    <w:basedOn w:val="DefaultParagraphFont"/>
    <w:rsid w:val="00177947"/>
  </w:style>
  <w:style w:type="character" w:styleId="Hyperlink">
    <w:name w:val="Hyperlink"/>
    <w:basedOn w:val="DefaultParagraphFont"/>
    <w:uiPriority w:val="99"/>
    <w:unhideWhenUsed/>
    <w:rsid w:val="00177947"/>
    <w:rPr>
      <w:color w:val="0000FF"/>
      <w:u w:val="single"/>
    </w:rPr>
  </w:style>
  <w:style w:type="character" w:customStyle="1" w:styleId="apple-converted-space">
    <w:name w:val="apple-converted-space"/>
    <w:basedOn w:val="DefaultParagraphFont"/>
    <w:rsid w:val="00177947"/>
  </w:style>
  <w:style w:type="character" w:styleId="Strong">
    <w:name w:val="Strong"/>
    <w:basedOn w:val="DefaultParagraphFont"/>
    <w:uiPriority w:val="22"/>
    <w:qFormat/>
    <w:rsid w:val="00177947"/>
    <w:rPr>
      <w:b/>
      <w:bCs/>
    </w:rPr>
  </w:style>
  <w:style w:type="character" w:customStyle="1" w:styleId="blockindent">
    <w:name w:val="blockindent"/>
    <w:basedOn w:val="DefaultParagraphFont"/>
    <w:rsid w:val="00177947"/>
  </w:style>
  <w:style w:type="character" w:styleId="FollowedHyperlink">
    <w:name w:val="FollowedHyperlink"/>
    <w:basedOn w:val="DefaultParagraphFont"/>
    <w:uiPriority w:val="99"/>
    <w:semiHidden/>
    <w:unhideWhenUsed/>
    <w:rsid w:val="00FD2486"/>
    <w:rPr>
      <w:color w:val="954F72" w:themeColor="followedHyperlink"/>
      <w:u w:val="single"/>
    </w:rPr>
  </w:style>
  <w:style w:type="character" w:styleId="UnresolvedMention">
    <w:name w:val="Unresolved Mention"/>
    <w:basedOn w:val="DefaultParagraphFont"/>
    <w:uiPriority w:val="99"/>
    <w:semiHidden/>
    <w:unhideWhenUsed/>
    <w:rsid w:val="00FD2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629168">
      <w:bodyDiv w:val="1"/>
      <w:marLeft w:val="0"/>
      <w:marRight w:val="0"/>
      <w:marTop w:val="0"/>
      <w:marBottom w:val="0"/>
      <w:divBdr>
        <w:top w:val="none" w:sz="0" w:space="0" w:color="auto"/>
        <w:left w:val="none" w:sz="0" w:space="0" w:color="auto"/>
        <w:bottom w:val="none" w:sz="0" w:space="0" w:color="auto"/>
        <w:right w:val="none" w:sz="0" w:space="0" w:color="auto"/>
      </w:divBdr>
      <w:divsChild>
        <w:div w:id="831019883">
          <w:marLeft w:val="0"/>
          <w:marRight w:val="0"/>
          <w:marTop w:val="0"/>
          <w:marBottom w:val="0"/>
          <w:divBdr>
            <w:top w:val="none" w:sz="0" w:space="0" w:color="auto"/>
            <w:left w:val="none" w:sz="0" w:space="0" w:color="auto"/>
            <w:bottom w:val="none" w:sz="0" w:space="0" w:color="auto"/>
            <w:right w:val="none" w:sz="0" w:space="0" w:color="auto"/>
          </w:divBdr>
          <w:divsChild>
            <w:div w:id="1324162705">
              <w:marLeft w:val="0"/>
              <w:marRight w:val="0"/>
              <w:marTop w:val="0"/>
              <w:marBottom w:val="0"/>
              <w:divBdr>
                <w:top w:val="none" w:sz="0" w:space="0" w:color="auto"/>
                <w:left w:val="none" w:sz="0" w:space="0" w:color="auto"/>
                <w:bottom w:val="none" w:sz="0" w:space="0" w:color="auto"/>
                <w:right w:val="none" w:sz="0" w:space="0" w:color="auto"/>
              </w:divBdr>
              <w:divsChild>
                <w:div w:id="602148967">
                  <w:marLeft w:val="300"/>
                  <w:marRight w:val="0"/>
                  <w:marTop w:val="0"/>
                  <w:marBottom w:val="0"/>
                  <w:divBdr>
                    <w:top w:val="none" w:sz="0" w:space="0" w:color="auto"/>
                    <w:left w:val="none" w:sz="0" w:space="0" w:color="auto"/>
                    <w:bottom w:val="none" w:sz="0" w:space="0" w:color="auto"/>
                    <w:right w:val="none" w:sz="0" w:space="0" w:color="auto"/>
                  </w:divBdr>
                </w:div>
                <w:div w:id="1237282321">
                  <w:marLeft w:val="300"/>
                  <w:marRight w:val="0"/>
                  <w:marTop w:val="0"/>
                  <w:marBottom w:val="0"/>
                  <w:divBdr>
                    <w:top w:val="none" w:sz="0" w:space="0" w:color="auto"/>
                    <w:left w:val="none" w:sz="0" w:space="0" w:color="auto"/>
                    <w:bottom w:val="none" w:sz="0" w:space="0" w:color="auto"/>
                    <w:right w:val="none" w:sz="0" w:space="0" w:color="auto"/>
                  </w:divBdr>
                </w:div>
                <w:div w:id="490947258">
                  <w:marLeft w:val="300"/>
                  <w:marRight w:val="0"/>
                  <w:marTop w:val="0"/>
                  <w:marBottom w:val="0"/>
                  <w:divBdr>
                    <w:top w:val="none" w:sz="0" w:space="0" w:color="auto"/>
                    <w:left w:val="none" w:sz="0" w:space="0" w:color="auto"/>
                    <w:bottom w:val="none" w:sz="0" w:space="0" w:color="auto"/>
                    <w:right w:val="none" w:sz="0" w:space="0" w:color="auto"/>
                  </w:divBdr>
                </w:div>
                <w:div w:id="75707675">
                  <w:marLeft w:val="300"/>
                  <w:marRight w:val="0"/>
                  <w:marTop w:val="0"/>
                  <w:marBottom w:val="0"/>
                  <w:divBdr>
                    <w:top w:val="none" w:sz="0" w:space="0" w:color="auto"/>
                    <w:left w:val="none" w:sz="0" w:space="0" w:color="auto"/>
                    <w:bottom w:val="none" w:sz="0" w:space="0" w:color="auto"/>
                    <w:right w:val="none" w:sz="0" w:space="0" w:color="auto"/>
                  </w:divBdr>
                </w:div>
                <w:div w:id="1380786111">
                  <w:marLeft w:val="300"/>
                  <w:marRight w:val="0"/>
                  <w:marTop w:val="0"/>
                  <w:marBottom w:val="0"/>
                  <w:divBdr>
                    <w:top w:val="none" w:sz="0" w:space="0" w:color="auto"/>
                    <w:left w:val="none" w:sz="0" w:space="0" w:color="auto"/>
                    <w:bottom w:val="none" w:sz="0" w:space="0" w:color="auto"/>
                    <w:right w:val="none" w:sz="0" w:space="0" w:color="auto"/>
                  </w:divBdr>
                </w:div>
                <w:div w:id="1662931569">
                  <w:marLeft w:val="300"/>
                  <w:marRight w:val="0"/>
                  <w:marTop w:val="0"/>
                  <w:marBottom w:val="0"/>
                  <w:divBdr>
                    <w:top w:val="none" w:sz="0" w:space="0" w:color="auto"/>
                    <w:left w:val="none" w:sz="0" w:space="0" w:color="auto"/>
                    <w:bottom w:val="none" w:sz="0" w:space="0" w:color="auto"/>
                    <w:right w:val="none" w:sz="0" w:space="0" w:color="auto"/>
                  </w:divBdr>
                </w:div>
                <w:div w:id="1602565399">
                  <w:marLeft w:val="300"/>
                  <w:marRight w:val="0"/>
                  <w:marTop w:val="0"/>
                  <w:marBottom w:val="0"/>
                  <w:divBdr>
                    <w:top w:val="none" w:sz="0" w:space="0" w:color="auto"/>
                    <w:left w:val="none" w:sz="0" w:space="0" w:color="auto"/>
                    <w:bottom w:val="none" w:sz="0" w:space="0" w:color="auto"/>
                    <w:right w:val="none" w:sz="0" w:space="0" w:color="auto"/>
                  </w:divBdr>
                </w:div>
                <w:div w:id="1522205985">
                  <w:marLeft w:val="300"/>
                  <w:marRight w:val="0"/>
                  <w:marTop w:val="0"/>
                  <w:marBottom w:val="0"/>
                  <w:divBdr>
                    <w:top w:val="none" w:sz="0" w:space="0" w:color="auto"/>
                    <w:left w:val="none" w:sz="0" w:space="0" w:color="auto"/>
                    <w:bottom w:val="none" w:sz="0" w:space="0" w:color="auto"/>
                    <w:right w:val="none" w:sz="0" w:space="0" w:color="auto"/>
                  </w:divBdr>
                </w:div>
                <w:div w:id="1073547537">
                  <w:marLeft w:val="300"/>
                  <w:marRight w:val="0"/>
                  <w:marTop w:val="0"/>
                  <w:marBottom w:val="0"/>
                  <w:divBdr>
                    <w:top w:val="none" w:sz="0" w:space="0" w:color="auto"/>
                    <w:left w:val="none" w:sz="0" w:space="0" w:color="auto"/>
                    <w:bottom w:val="none" w:sz="0" w:space="0" w:color="auto"/>
                    <w:right w:val="none" w:sz="0" w:space="0" w:color="auto"/>
                  </w:divBdr>
                </w:div>
                <w:div w:id="1384792456">
                  <w:marLeft w:val="300"/>
                  <w:marRight w:val="0"/>
                  <w:marTop w:val="0"/>
                  <w:marBottom w:val="0"/>
                  <w:divBdr>
                    <w:top w:val="none" w:sz="0" w:space="0" w:color="auto"/>
                    <w:left w:val="none" w:sz="0" w:space="0" w:color="auto"/>
                    <w:bottom w:val="none" w:sz="0" w:space="0" w:color="auto"/>
                    <w:right w:val="none" w:sz="0" w:space="0" w:color="auto"/>
                  </w:divBdr>
                </w:div>
                <w:div w:id="1361462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xtbulletin.sfsu.edu/search/?search=BECA+370" TargetMode="External"/><Relationship Id="rId18" Type="http://schemas.openxmlformats.org/officeDocument/2006/relationships/hyperlink" Target="https://bulletin.sfsu.edu/search/?search=BECA+324" TargetMode="External"/><Relationship Id="rId26" Type="http://schemas.openxmlformats.org/officeDocument/2006/relationships/hyperlink" Target="https://nextbulletin.sfsu.edu/search/?P=BECA%20300GW" TargetMode="External"/><Relationship Id="rId39" Type="http://schemas.openxmlformats.org/officeDocument/2006/relationships/theme" Target="theme/theme1.xml"/><Relationship Id="rId21" Type="http://schemas.openxmlformats.org/officeDocument/2006/relationships/hyperlink" Target="https://nextbulletin.sfsu.edu/search/?P=BECA%20422" TargetMode="External"/><Relationship Id="rId34" Type="http://schemas.openxmlformats.org/officeDocument/2006/relationships/hyperlink" Target="https://nextbulletin.sfsu.edu/search/?P=BECA%20340" TargetMode="External"/><Relationship Id="rId7" Type="http://schemas.openxmlformats.org/officeDocument/2006/relationships/hyperlink" Target="http://bulletin.sfsu.edu/undergraduate-admissions/transfer-students/" TargetMode="External"/><Relationship Id="rId12" Type="http://schemas.openxmlformats.org/officeDocument/2006/relationships/hyperlink" Target="https://nextbulletin.sfsu.edu/undergraduate-education/graduation-requirements/" TargetMode="External"/><Relationship Id="rId17" Type="http://schemas.openxmlformats.org/officeDocument/2006/relationships/hyperlink" Target="https://bulletin.sfsu.edu/search/?search=BECA+375" TargetMode="External"/><Relationship Id="rId25" Type="http://schemas.openxmlformats.org/officeDocument/2006/relationships/hyperlink" Target="https://nextbulletin.sfsu.edu/search/?P=ENG%20214" TargetMode="External"/><Relationship Id="rId33" Type="http://schemas.openxmlformats.org/officeDocument/2006/relationships/hyperlink" Target="https://nextbulletin.sfsu.edu/search/?P=BECA%20300GW"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ulletin.sfsu.edu/search/?search=BECA+374" TargetMode="External"/><Relationship Id="rId20" Type="http://schemas.openxmlformats.org/officeDocument/2006/relationships/hyperlink" Target="https://nextbulletin.sfsu.edu/search/?P=BECA%20321" TargetMode="External"/><Relationship Id="rId29" Type="http://schemas.openxmlformats.org/officeDocument/2006/relationships/hyperlink" Target="https://bulletin.sfsu.edu/search/?search=BECA+324" TargetMode="External"/><Relationship Id="rId1" Type="http://schemas.openxmlformats.org/officeDocument/2006/relationships/numbering" Target="numbering.xml"/><Relationship Id="rId6" Type="http://schemas.openxmlformats.org/officeDocument/2006/relationships/hyperlink" Target="https://nextbulletin.sfsu.edu/search/?P=BECA%20230" TargetMode="External"/><Relationship Id="rId11" Type="http://schemas.openxmlformats.org/officeDocument/2006/relationships/hyperlink" Target="https://nextbulletin.sfsu.edu/undergraduate-education/general-education/upper-division/" TargetMode="External"/><Relationship Id="rId24" Type="http://schemas.openxmlformats.org/officeDocument/2006/relationships/hyperlink" Target="https://nextbulletin.sfsu.edu/undergraduate-education/general-education/upper-division/" TargetMode="External"/><Relationship Id="rId32" Type="http://schemas.openxmlformats.org/officeDocument/2006/relationships/hyperlink" Target="https://nextbulletin.sfsu.edu/search/?P=ENG%20214" TargetMode="External"/><Relationship Id="rId37" Type="http://schemas.openxmlformats.org/officeDocument/2006/relationships/hyperlink" Target="https://nextbulletin.sfsu.edu/search/?P=BECA%20230" TargetMode="External"/><Relationship Id="rId5" Type="http://schemas.openxmlformats.org/officeDocument/2006/relationships/hyperlink" Target="https://nextbulletin.sfsu.edu/search/?P=BECA%20200" TargetMode="External"/><Relationship Id="rId15" Type="http://schemas.openxmlformats.org/officeDocument/2006/relationships/hyperlink" Target="https://bulletin.sfsu.edu/search/?search=BECA+372" TargetMode="External"/><Relationship Id="rId23" Type="http://schemas.openxmlformats.org/officeDocument/2006/relationships/hyperlink" Target="https://nextbulletin.sfsu.edu/undergraduate-education/general-education/upper-division/" TargetMode="External"/><Relationship Id="rId28" Type="http://schemas.openxmlformats.org/officeDocument/2006/relationships/hyperlink" Target="https://nextbulletin.sfsu.edu/search/?P=BECA%20300GW" TargetMode="External"/><Relationship Id="rId36" Type="http://schemas.openxmlformats.org/officeDocument/2006/relationships/hyperlink" Target="https://nextbulletin.sfsu.edu/search/?P=BECA%20200" TargetMode="External"/><Relationship Id="rId10" Type="http://schemas.openxmlformats.org/officeDocument/2006/relationships/hyperlink" Target="https://nextbulletin.sfsu.edu/undergraduate-education/general-education/lower-division/" TargetMode="External"/><Relationship Id="rId19" Type="http://schemas.openxmlformats.org/officeDocument/2006/relationships/hyperlink" Target="https://nextbulletin.sfsu.edu/search/?P=BECA%20390" TargetMode="External"/><Relationship Id="rId31" Type="http://schemas.openxmlformats.org/officeDocument/2006/relationships/hyperlink" Target="https://nextbulletin.sfsu.edu/search/?P=ENG%20214" TargetMode="External"/><Relationship Id="rId4" Type="http://schemas.openxmlformats.org/officeDocument/2006/relationships/webSettings" Target="webSettings.xml"/><Relationship Id="rId9" Type="http://schemas.openxmlformats.org/officeDocument/2006/relationships/hyperlink" Target="https://nextbulletin.sfsu.edu/search/?P=BECA%20340" TargetMode="External"/><Relationship Id="rId14" Type="http://schemas.openxmlformats.org/officeDocument/2006/relationships/hyperlink" Target="https://nextbulletin.sfsu.edu/search/?search=BECA+470" TargetMode="External"/><Relationship Id="rId22" Type="http://schemas.openxmlformats.org/officeDocument/2006/relationships/hyperlink" Target="https://nextbulletin.sfsu.edu/undergraduate-education/graduation-requirements/" TargetMode="External"/><Relationship Id="rId27" Type="http://schemas.openxmlformats.org/officeDocument/2006/relationships/hyperlink" Target="https://nextbulletin.sfsu.edu/search/?P=BECA%20200" TargetMode="External"/><Relationship Id="rId30" Type="http://schemas.openxmlformats.org/officeDocument/2006/relationships/hyperlink" Target="https://nextbulletin.sfsu.edu/search/?P=BECA%20340" TargetMode="External"/><Relationship Id="rId35" Type="http://schemas.openxmlformats.org/officeDocument/2006/relationships/hyperlink" Target="https://nextbulletin.sfsu.edu/search/?P=ENG%20214" TargetMode="External"/><Relationship Id="rId8" Type="http://schemas.openxmlformats.org/officeDocument/2006/relationships/hyperlink" Target="https://nextbulletin.sfsu.edu/search/?P=BECA%20300GW"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Christopher F Clemens</cp:lastModifiedBy>
  <cp:revision>3</cp:revision>
  <dcterms:created xsi:type="dcterms:W3CDTF">2023-02-04T02:00:00Z</dcterms:created>
  <dcterms:modified xsi:type="dcterms:W3CDTF">2024-10-18T18:35:00Z</dcterms:modified>
</cp:coreProperties>
</file>